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3C" w:rsidRDefault="00462D3C" w:rsidP="006133DF">
      <w:pPr>
        <w:spacing w:after="0" w:line="240" w:lineRule="auto"/>
        <w:jc w:val="both"/>
        <w:rPr>
          <w:b/>
          <w:sz w:val="24"/>
          <w:szCs w:val="24"/>
        </w:rPr>
      </w:pPr>
    </w:p>
    <w:p w:rsidR="00EE5F3F" w:rsidRDefault="00482171" w:rsidP="000A4B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D0394">
        <w:rPr>
          <w:rFonts w:ascii="Arial" w:hAnsi="Arial" w:cs="Arial"/>
          <w:b/>
          <w:sz w:val="24"/>
          <w:szCs w:val="24"/>
        </w:rPr>
        <w:t>roceso</w:t>
      </w:r>
      <w:r w:rsidR="000D0394" w:rsidRPr="000D0394">
        <w:rPr>
          <w:rFonts w:ascii="Arial" w:hAnsi="Arial" w:cs="Arial"/>
          <w:b/>
          <w:sz w:val="24"/>
          <w:szCs w:val="24"/>
        </w:rPr>
        <w:t xml:space="preserve"> que realizan las áreas</w:t>
      </w:r>
      <w:r w:rsidR="000D0394">
        <w:rPr>
          <w:rFonts w:ascii="Arial" w:hAnsi="Arial" w:cs="Arial"/>
          <w:b/>
          <w:sz w:val="24"/>
          <w:szCs w:val="24"/>
        </w:rPr>
        <w:t xml:space="preserve"> de la Secretaría de Finanzas de Gobierno del Estado</w:t>
      </w:r>
      <w:r w:rsidR="000D0394" w:rsidRPr="000D0394">
        <w:rPr>
          <w:rFonts w:ascii="Arial" w:hAnsi="Arial" w:cs="Arial"/>
          <w:b/>
          <w:sz w:val="24"/>
          <w:szCs w:val="24"/>
        </w:rPr>
        <w:t xml:space="preserve"> que participan en la distribución y ministración de los recursos del </w:t>
      </w:r>
      <w:r w:rsidR="00EE5F3F">
        <w:rPr>
          <w:rFonts w:ascii="Arial" w:hAnsi="Arial" w:cs="Arial"/>
          <w:b/>
          <w:sz w:val="24"/>
          <w:szCs w:val="24"/>
        </w:rPr>
        <w:t>Fondo</w:t>
      </w:r>
      <w:r w:rsidR="006D0B9A">
        <w:rPr>
          <w:rFonts w:ascii="Arial" w:hAnsi="Arial" w:cs="Arial"/>
          <w:b/>
          <w:sz w:val="24"/>
          <w:szCs w:val="24"/>
        </w:rPr>
        <w:t xml:space="preserve"> para la Infraestructura Social Municipal y de las</w:t>
      </w:r>
      <w:r w:rsidR="006D0B9A" w:rsidRPr="006D0B9A">
        <w:rPr>
          <w:rFonts w:ascii="Arial" w:hAnsi="Arial" w:cs="Arial"/>
          <w:b/>
          <w:sz w:val="24"/>
          <w:szCs w:val="24"/>
        </w:rPr>
        <w:t xml:space="preserve"> Demarcaciones</w:t>
      </w:r>
      <w:r w:rsidR="006D0B9A">
        <w:rPr>
          <w:rFonts w:ascii="Arial" w:hAnsi="Arial" w:cs="Arial"/>
          <w:b/>
          <w:sz w:val="24"/>
          <w:szCs w:val="24"/>
        </w:rPr>
        <w:t xml:space="preserve"> </w:t>
      </w:r>
      <w:r w:rsidR="006D0B9A" w:rsidRPr="006D0B9A">
        <w:rPr>
          <w:rFonts w:ascii="Arial" w:hAnsi="Arial" w:cs="Arial"/>
          <w:b/>
          <w:sz w:val="24"/>
          <w:szCs w:val="24"/>
        </w:rPr>
        <w:t xml:space="preserve">Territoriales del Distrito Federal </w:t>
      </w:r>
      <w:r w:rsidR="006D0B9A">
        <w:rPr>
          <w:rFonts w:ascii="Arial" w:hAnsi="Arial" w:cs="Arial"/>
          <w:b/>
          <w:sz w:val="24"/>
          <w:szCs w:val="24"/>
        </w:rPr>
        <w:t>(FISM</w:t>
      </w:r>
      <w:r w:rsidR="0005309B">
        <w:rPr>
          <w:rFonts w:ascii="Arial" w:hAnsi="Arial" w:cs="Arial"/>
          <w:b/>
          <w:sz w:val="24"/>
          <w:szCs w:val="24"/>
        </w:rPr>
        <w:t>-</w:t>
      </w:r>
      <w:r w:rsidR="006D0B9A">
        <w:rPr>
          <w:rFonts w:ascii="Arial" w:hAnsi="Arial" w:cs="Arial"/>
          <w:b/>
          <w:sz w:val="24"/>
          <w:szCs w:val="24"/>
        </w:rPr>
        <w:t>DF)</w:t>
      </w:r>
      <w:r w:rsidR="000A4B7E">
        <w:rPr>
          <w:rFonts w:ascii="Arial" w:hAnsi="Arial" w:cs="Arial"/>
          <w:b/>
          <w:sz w:val="24"/>
          <w:szCs w:val="24"/>
        </w:rPr>
        <w:t>.</w:t>
      </w:r>
    </w:p>
    <w:p w:rsidR="00212258" w:rsidRPr="00C32CED" w:rsidRDefault="00212258" w:rsidP="000A4B7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12258" w:rsidRPr="00C32CED" w:rsidRDefault="00212258" w:rsidP="000A4B7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12258" w:rsidRDefault="00212258" w:rsidP="002122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</w:t>
      </w:r>
    </w:p>
    <w:p w:rsidR="00212258" w:rsidRDefault="00212258" w:rsidP="0021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4E9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FISM-DF</w:t>
      </w:r>
      <w:r w:rsidRPr="003C4E90">
        <w:rPr>
          <w:rFonts w:ascii="Arial" w:hAnsi="Arial" w:cs="Arial"/>
          <w:sz w:val="24"/>
          <w:szCs w:val="24"/>
        </w:rPr>
        <w:t xml:space="preserve"> es una relevante fuente de ingreso de los municipios y para la gran mayoría constituye su principal medio de realización de infraestructura básica, orientada a beneficiar a la población en condiciones de pobreza.</w:t>
      </w:r>
    </w:p>
    <w:p w:rsidR="00212258" w:rsidRDefault="00212258" w:rsidP="0021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1C91">
        <w:rPr>
          <w:rFonts w:ascii="Arial" w:hAnsi="Arial" w:cs="Arial"/>
          <w:sz w:val="24"/>
          <w:szCs w:val="24"/>
        </w:rPr>
        <w:t xml:space="preserve">Las entidades </w:t>
      </w:r>
      <w:r>
        <w:rPr>
          <w:rFonts w:ascii="Arial" w:hAnsi="Arial" w:cs="Arial"/>
          <w:sz w:val="24"/>
          <w:szCs w:val="24"/>
        </w:rPr>
        <w:t>distribuyen</w:t>
      </w:r>
      <w:r w:rsidRPr="004F1C91">
        <w:rPr>
          <w:rFonts w:ascii="Arial" w:hAnsi="Arial" w:cs="Arial"/>
          <w:sz w:val="24"/>
          <w:szCs w:val="24"/>
        </w:rPr>
        <w:t xml:space="preserve"> entre los municipios y las demarcaciones territoriales los</w:t>
      </w:r>
      <w:r>
        <w:rPr>
          <w:rFonts w:ascii="Arial" w:hAnsi="Arial" w:cs="Arial"/>
          <w:sz w:val="24"/>
          <w:szCs w:val="24"/>
        </w:rPr>
        <w:t xml:space="preserve"> </w:t>
      </w:r>
      <w:r w:rsidRPr="004F1C91">
        <w:rPr>
          <w:rFonts w:ascii="Arial" w:hAnsi="Arial" w:cs="Arial"/>
          <w:sz w:val="24"/>
          <w:szCs w:val="24"/>
        </w:rPr>
        <w:t xml:space="preserve">recursos del </w:t>
      </w:r>
      <w:r>
        <w:rPr>
          <w:rFonts w:ascii="Arial" w:hAnsi="Arial" w:cs="Arial"/>
          <w:sz w:val="24"/>
          <w:szCs w:val="24"/>
        </w:rPr>
        <w:t>FISM-DF</w:t>
      </w:r>
      <w:r w:rsidRPr="004F1C91">
        <w:rPr>
          <w:rFonts w:ascii="Arial" w:hAnsi="Arial" w:cs="Arial"/>
          <w:sz w:val="24"/>
          <w:szCs w:val="24"/>
        </w:rPr>
        <w:t xml:space="preserve"> con una fórmula, que enfati</w:t>
      </w:r>
      <w:r>
        <w:rPr>
          <w:rFonts w:ascii="Arial" w:hAnsi="Arial" w:cs="Arial"/>
          <w:sz w:val="24"/>
          <w:szCs w:val="24"/>
        </w:rPr>
        <w:t>za</w:t>
      </w:r>
      <w:r w:rsidRPr="004F1C91">
        <w:rPr>
          <w:rFonts w:ascii="Arial" w:hAnsi="Arial" w:cs="Arial"/>
          <w:sz w:val="24"/>
          <w:szCs w:val="24"/>
        </w:rPr>
        <w:t xml:space="preserve"> el carácter</w:t>
      </w:r>
      <w:r>
        <w:rPr>
          <w:rFonts w:ascii="Arial" w:hAnsi="Arial" w:cs="Arial"/>
          <w:sz w:val="24"/>
          <w:szCs w:val="24"/>
        </w:rPr>
        <w:t xml:space="preserve"> </w:t>
      </w:r>
      <w:r w:rsidRPr="004F1C91">
        <w:rPr>
          <w:rFonts w:ascii="Arial" w:hAnsi="Arial" w:cs="Arial"/>
          <w:sz w:val="24"/>
          <w:szCs w:val="24"/>
        </w:rPr>
        <w:t>redistributivo de estas aportaciones hacia aquellos municipios y demarcaciones territoriales con mayor</w:t>
      </w:r>
      <w:r>
        <w:rPr>
          <w:rFonts w:ascii="Arial" w:hAnsi="Arial" w:cs="Arial"/>
          <w:sz w:val="24"/>
          <w:szCs w:val="24"/>
        </w:rPr>
        <w:t xml:space="preserve"> </w:t>
      </w:r>
      <w:r w:rsidRPr="004F1C91">
        <w:rPr>
          <w:rFonts w:ascii="Arial" w:hAnsi="Arial" w:cs="Arial"/>
          <w:sz w:val="24"/>
          <w:szCs w:val="24"/>
        </w:rPr>
        <w:t xml:space="preserve">magnitud y profundidad de pobreza extrema. Para ello, </w:t>
      </w:r>
      <w:r>
        <w:rPr>
          <w:rFonts w:ascii="Arial" w:hAnsi="Arial" w:cs="Arial"/>
          <w:sz w:val="24"/>
          <w:szCs w:val="24"/>
        </w:rPr>
        <w:t xml:space="preserve">utilizan </w:t>
      </w:r>
      <w:r w:rsidRPr="004F1C91">
        <w:rPr>
          <w:rFonts w:ascii="Arial" w:hAnsi="Arial" w:cs="Arial"/>
          <w:sz w:val="24"/>
          <w:szCs w:val="24"/>
        </w:rPr>
        <w:t>la información de pobreza extrema más</w:t>
      </w:r>
      <w:r>
        <w:rPr>
          <w:rFonts w:ascii="Arial" w:hAnsi="Arial" w:cs="Arial"/>
          <w:sz w:val="24"/>
          <w:szCs w:val="24"/>
        </w:rPr>
        <w:t xml:space="preserve"> </w:t>
      </w:r>
      <w:r w:rsidRPr="004F1C91">
        <w:rPr>
          <w:rFonts w:ascii="Arial" w:hAnsi="Arial" w:cs="Arial"/>
          <w:sz w:val="24"/>
          <w:szCs w:val="24"/>
        </w:rPr>
        <w:t>reciente a nivel municipal y de las demarcaciones territoriales,</w:t>
      </w:r>
      <w:r>
        <w:rPr>
          <w:rFonts w:ascii="Arial" w:hAnsi="Arial" w:cs="Arial"/>
          <w:sz w:val="24"/>
          <w:szCs w:val="24"/>
        </w:rPr>
        <w:t xml:space="preserve"> </w:t>
      </w:r>
      <w:r w:rsidRPr="004F1C91">
        <w:rPr>
          <w:rFonts w:ascii="Arial" w:hAnsi="Arial" w:cs="Arial"/>
          <w:sz w:val="24"/>
          <w:szCs w:val="24"/>
        </w:rPr>
        <w:t>publicada por el C</w:t>
      </w:r>
      <w:r>
        <w:rPr>
          <w:rFonts w:ascii="Arial" w:hAnsi="Arial" w:cs="Arial"/>
          <w:sz w:val="24"/>
          <w:szCs w:val="24"/>
        </w:rPr>
        <w:t>ONEVAL.</w:t>
      </w:r>
    </w:p>
    <w:p w:rsidR="00212258" w:rsidRDefault="00212258" w:rsidP="0021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00EE">
        <w:rPr>
          <w:rFonts w:ascii="Arial" w:hAnsi="Arial" w:cs="Arial"/>
          <w:sz w:val="24"/>
          <w:szCs w:val="24"/>
        </w:rPr>
        <w:t>El Fondo tiene como objetivo fundamental el financiamiento de obras, acciones sociales básicas y a inversiones que beneficien directamente a población en pobreza extrema, localidades con alto o muy alto nivel de rezago social conforme a lo previsto en la LGDS y en las zonas de atención prioritaria.</w:t>
      </w:r>
    </w:p>
    <w:p w:rsidR="00212258" w:rsidRPr="00C32CED" w:rsidRDefault="00212258" w:rsidP="00212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recursos del FISM-DF pueden destinarse a obras y acciones de agua po</w:t>
      </w:r>
      <w:r w:rsidRPr="00285B43">
        <w:rPr>
          <w:rFonts w:ascii="Arial" w:hAnsi="Arial" w:cs="Arial"/>
          <w:sz w:val="24"/>
          <w:szCs w:val="24"/>
        </w:rPr>
        <w:t xml:space="preserve">table, alcantarillado, drenaje y letrinas, urbanización, electrificación rural y de colonias pobres, infraestructura básica del sector salud y educativo, mejoramiento de vivienda, así como mantenimiento de infraestructura, conforme a lo señalado en el catálogo de acciones establecido en los Lineamientos del Fondo que </w:t>
      </w:r>
      <w:r>
        <w:rPr>
          <w:rFonts w:ascii="Arial" w:hAnsi="Arial" w:cs="Arial"/>
          <w:sz w:val="24"/>
          <w:szCs w:val="24"/>
        </w:rPr>
        <w:t xml:space="preserve">se </w:t>
      </w:r>
      <w:r w:rsidRPr="00285B43">
        <w:rPr>
          <w:rFonts w:ascii="Arial" w:hAnsi="Arial" w:cs="Arial"/>
          <w:sz w:val="24"/>
          <w:szCs w:val="24"/>
        </w:rPr>
        <w:t>emita</w:t>
      </w:r>
      <w:r>
        <w:rPr>
          <w:rFonts w:ascii="Arial" w:hAnsi="Arial" w:cs="Arial"/>
          <w:sz w:val="24"/>
          <w:szCs w:val="24"/>
        </w:rPr>
        <w:t>n</w:t>
      </w:r>
      <w:r w:rsidRPr="00285B43">
        <w:rPr>
          <w:rFonts w:ascii="Arial" w:hAnsi="Arial" w:cs="Arial"/>
          <w:sz w:val="24"/>
          <w:szCs w:val="24"/>
        </w:rPr>
        <w:t>.</w:t>
      </w:r>
      <w:r w:rsidRPr="00C32CED">
        <w:rPr>
          <w:rFonts w:ascii="Arial" w:hAnsi="Arial" w:cs="Arial"/>
          <w:sz w:val="24"/>
          <w:szCs w:val="24"/>
        </w:rPr>
        <w:t xml:space="preserve"> </w:t>
      </w:r>
    </w:p>
    <w:p w:rsidR="00C32CED" w:rsidRDefault="00C32CED" w:rsidP="00212258">
      <w:pPr>
        <w:rPr>
          <w:rFonts w:ascii="Arial" w:hAnsi="Arial" w:cs="Arial"/>
          <w:b/>
          <w:bCs/>
          <w:iCs/>
          <w:sz w:val="24"/>
          <w:szCs w:val="24"/>
          <w:lang w:val="es-ES"/>
        </w:rPr>
      </w:pPr>
      <w:bookmarkStart w:id="0" w:name="_Hlk5692680"/>
    </w:p>
    <w:p w:rsidR="00C32CED" w:rsidRDefault="00C32CED" w:rsidP="00212258">
      <w:pPr>
        <w:rPr>
          <w:rFonts w:ascii="Arial" w:hAnsi="Arial" w:cs="Arial"/>
          <w:b/>
          <w:bCs/>
          <w:iCs/>
          <w:sz w:val="24"/>
          <w:szCs w:val="24"/>
          <w:lang w:val="es-ES"/>
        </w:rPr>
      </w:pPr>
    </w:p>
    <w:p w:rsidR="00212258" w:rsidRDefault="00212258" w:rsidP="00212258">
      <w:pPr>
        <w:rPr>
          <w:rFonts w:ascii="Arial" w:hAnsi="Arial" w:cs="Arial"/>
          <w:b/>
          <w:bCs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lastRenderedPageBreak/>
        <w:t>SIGLAS, ACRÓNIMOS, TÉRMINOS Y DEFINICIONES.</w:t>
      </w:r>
    </w:p>
    <w:bookmarkEnd w:id="0"/>
    <w:p w:rsidR="00212258" w:rsidRPr="00C32CED" w:rsidRDefault="00212258" w:rsidP="00C32CE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32CED">
        <w:rPr>
          <w:rFonts w:ascii="Arial" w:hAnsi="Arial" w:cs="Arial"/>
          <w:sz w:val="24"/>
          <w:szCs w:val="24"/>
        </w:rPr>
        <w:t>Para la correcta interpretación del presente documento se observará lo siguiente:</w:t>
      </w: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212258" w:rsidTr="00212258">
        <w:tc>
          <w:tcPr>
            <w:tcW w:w="2093" w:type="dxa"/>
          </w:tcPr>
          <w:p w:rsidR="00212258" w:rsidRDefault="00212258" w:rsidP="00C32CE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Acuerdo Federal</w:t>
            </w:r>
          </w:p>
        </w:tc>
        <w:tc>
          <w:tcPr>
            <w:tcW w:w="8505" w:type="dxa"/>
            <w:vAlign w:val="bottom"/>
          </w:tcPr>
          <w:p w:rsidR="00212258" w:rsidRDefault="0048248C" w:rsidP="00C32CE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 w:eastAsia="es-MX"/>
              </w:rPr>
              <w:t>Acuerdo</w:t>
            </w:r>
            <w:r w:rsidR="00212258">
              <w:rPr>
                <w:rFonts w:ascii="Arial" w:hAnsi="Arial" w:cs="Arial"/>
                <w:color w:val="000000"/>
                <w:sz w:val="24"/>
                <w:szCs w:val="24"/>
                <w:lang w:val="es-ES" w:eastAsia="es-MX"/>
              </w:rPr>
              <w:t xml:space="preserve"> por el que se da a conocer a los gobiernos de las entidades federativas la distribución y calendarización para la ministración de los recursos correspondientes a los Ramos Generales 28 Participaciones a Entidades Federativas y Municipios, y 33 Aportaciones Federales para Entidades Federativas y Municipios.</w:t>
            </w:r>
          </w:p>
        </w:tc>
      </w:tr>
      <w:tr w:rsidR="00212258" w:rsidTr="00C32CED">
        <w:tc>
          <w:tcPr>
            <w:tcW w:w="2093" w:type="dxa"/>
          </w:tcPr>
          <w:p w:rsidR="00212258" w:rsidRDefault="00212258" w:rsidP="00C32CE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Acuerdo Estatal</w:t>
            </w:r>
          </w:p>
          <w:p w:rsidR="00212258" w:rsidRDefault="00212258" w:rsidP="00C32CE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05" w:type="dxa"/>
            <w:vAlign w:val="bottom"/>
          </w:tcPr>
          <w:p w:rsidR="00212258" w:rsidRDefault="0048248C" w:rsidP="00C32CE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Acuerdo </w:t>
            </w:r>
            <w:r w:rsidR="00212258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Mediante el cual se da a conocer el calendario de entrega y monto estimado que recibirán los 58 municipios del estado de Zacatecas por concepto de recursos provenientes del </w:t>
            </w:r>
            <w:r w:rsidRPr="0048248C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Fondo de Aportaciones para la Infraestructura Social Municipal y de las Demarcaciones Territoriales del Distrito Federal.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CFDI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3A89">
              <w:rPr>
                <w:rFonts w:ascii="Arial" w:hAnsi="Arial" w:cs="Arial"/>
                <w:sz w:val="24"/>
                <w:szCs w:val="24"/>
              </w:rPr>
              <w:t>Comprobante Fiscal Digital por Internet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CONEVAL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1C91">
              <w:rPr>
                <w:rFonts w:ascii="Arial" w:hAnsi="Arial" w:cs="Arial"/>
                <w:sz w:val="24"/>
                <w:szCs w:val="24"/>
              </w:rPr>
              <w:t>Consejo Nacional de Evaluación de la Política de Desarrollo Social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Pr="00FF0734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DOF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0B9A">
              <w:rPr>
                <w:rFonts w:ascii="Arial" w:hAnsi="Arial" w:cs="Arial"/>
                <w:sz w:val="24"/>
                <w:szCs w:val="24"/>
              </w:rPr>
              <w:t>Diario Oficial de la Federación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E90">
              <w:rPr>
                <w:rFonts w:ascii="Arial" w:hAnsi="Arial" w:cs="Arial"/>
                <w:sz w:val="24"/>
                <w:szCs w:val="24"/>
              </w:rPr>
              <w:t>FISM</w:t>
            </w:r>
            <w:r w:rsidR="0005309B">
              <w:rPr>
                <w:rFonts w:ascii="Arial" w:hAnsi="Arial" w:cs="Arial"/>
                <w:sz w:val="24"/>
                <w:szCs w:val="24"/>
              </w:rPr>
              <w:t>-</w:t>
            </w:r>
            <w:r w:rsidRPr="003C4E90">
              <w:rPr>
                <w:rFonts w:ascii="Arial" w:hAnsi="Arial" w:cs="Arial"/>
                <w:sz w:val="24"/>
                <w:szCs w:val="24"/>
              </w:rPr>
              <w:t>DF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4E90">
              <w:rPr>
                <w:rFonts w:ascii="Arial" w:hAnsi="Arial" w:cs="Arial"/>
                <w:sz w:val="24"/>
                <w:szCs w:val="24"/>
              </w:rPr>
              <w:t>Fondo de Aportaciones para la Infraestructura Social Municipal y de las Demarcaciones Territoriales del Distrito Federal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0734">
              <w:rPr>
                <w:rFonts w:ascii="Arial" w:hAnsi="Arial" w:cs="Arial"/>
                <w:sz w:val="24"/>
                <w:szCs w:val="24"/>
              </w:rPr>
              <w:t>LCF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de Coordinación Fiscal.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LDFEFM</w:t>
            </w:r>
          </w:p>
        </w:tc>
        <w:tc>
          <w:tcPr>
            <w:tcW w:w="8505" w:type="dxa"/>
          </w:tcPr>
          <w:p w:rsidR="00E01C2E" w:rsidRPr="007611D9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11D9">
              <w:rPr>
                <w:rFonts w:ascii="Arial" w:hAnsi="Arial" w:cs="Arial"/>
                <w:sz w:val="24"/>
                <w:szCs w:val="24"/>
              </w:rPr>
              <w:t>Ley de Disciplina Financiera de las Entidades Federativas y los Municipios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LGDS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00EE">
              <w:rPr>
                <w:rFonts w:ascii="Arial" w:hAnsi="Arial" w:cs="Arial"/>
                <w:sz w:val="24"/>
                <w:szCs w:val="24"/>
              </w:rPr>
              <w:t>Ley General de Desarrollo Social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SEFIN</w:t>
            </w:r>
          </w:p>
        </w:tc>
        <w:tc>
          <w:tcPr>
            <w:tcW w:w="8505" w:type="dxa"/>
          </w:tcPr>
          <w:p w:rsidR="00E01C2E" w:rsidRPr="00C33A89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de Finanzas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SHCP</w:t>
            </w:r>
          </w:p>
        </w:tc>
        <w:tc>
          <w:tcPr>
            <w:tcW w:w="8505" w:type="dxa"/>
          </w:tcPr>
          <w:p w:rsidR="00E01C2E" w:rsidRPr="006D0B9A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0156">
              <w:rPr>
                <w:rFonts w:ascii="Arial" w:hAnsi="Arial" w:cs="Arial"/>
                <w:sz w:val="24"/>
                <w:szCs w:val="24"/>
              </w:rPr>
              <w:t>Secretaría de Hacienda y Crédito Público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SIIF</w:t>
            </w:r>
          </w:p>
        </w:tc>
        <w:tc>
          <w:tcPr>
            <w:tcW w:w="8505" w:type="dxa"/>
          </w:tcPr>
          <w:p w:rsidR="00E01C2E" w:rsidRPr="00BF0156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Integral de Información Financiera.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SPEI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Pagos Electrónicos Interbancarios.</w:t>
            </w:r>
          </w:p>
        </w:tc>
      </w:tr>
      <w:tr w:rsidR="00E01C2E" w:rsidTr="00212258">
        <w:tc>
          <w:tcPr>
            <w:tcW w:w="2093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TESOFE</w:t>
            </w:r>
          </w:p>
        </w:tc>
        <w:tc>
          <w:tcPr>
            <w:tcW w:w="8505" w:type="dxa"/>
          </w:tcPr>
          <w:p w:rsidR="00E01C2E" w:rsidRDefault="00E01C2E" w:rsidP="00C32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3A89">
              <w:rPr>
                <w:rFonts w:ascii="Arial" w:hAnsi="Arial" w:cs="Arial"/>
                <w:sz w:val="24"/>
                <w:szCs w:val="24"/>
              </w:rPr>
              <w:t>Tesorería de la Federación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1E28" w:rsidRDefault="00C41E28" w:rsidP="00C41E28">
      <w:pPr>
        <w:rPr>
          <w:rFonts w:ascii="Arial" w:hAnsi="Arial" w:cs="Arial"/>
          <w:sz w:val="24"/>
          <w:szCs w:val="24"/>
        </w:rPr>
      </w:pPr>
    </w:p>
    <w:p w:rsidR="00C32CED" w:rsidRDefault="00C32CED" w:rsidP="00FA6A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0394" w:rsidRPr="000D0394" w:rsidRDefault="000D0394" w:rsidP="00FA6A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Pr="000D0394">
        <w:rPr>
          <w:rFonts w:ascii="Arial" w:hAnsi="Arial" w:cs="Arial"/>
          <w:b/>
          <w:sz w:val="24"/>
          <w:szCs w:val="24"/>
        </w:rPr>
        <w:t xml:space="preserve">ecomendaciones </w:t>
      </w:r>
      <w:r w:rsidR="00EF37E1">
        <w:rPr>
          <w:rFonts w:ascii="Arial" w:hAnsi="Arial" w:cs="Arial"/>
          <w:b/>
          <w:sz w:val="24"/>
          <w:szCs w:val="24"/>
        </w:rPr>
        <w:t xml:space="preserve">que se emiten </w:t>
      </w:r>
      <w:r w:rsidRPr="000D0394">
        <w:rPr>
          <w:rFonts w:ascii="Arial" w:hAnsi="Arial" w:cs="Arial"/>
          <w:b/>
          <w:sz w:val="24"/>
          <w:szCs w:val="24"/>
        </w:rPr>
        <w:t xml:space="preserve">para la </w:t>
      </w:r>
      <w:r>
        <w:rPr>
          <w:rFonts w:ascii="Arial" w:hAnsi="Arial" w:cs="Arial"/>
          <w:b/>
          <w:sz w:val="24"/>
          <w:szCs w:val="24"/>
        </w:rPr>
        <w:t xml:space="preserve">administración y </w:t>
      </w:r>
      <w:r w:rsidRPr="000D0394">
        <w:rPr>
          <w:rFonts w:ascii="Arial" w:hAnsi="Arial" w:cs="Arial"/>
          <w:b/>
          <w:sz w:val="24"/>
          <w:szCs w:val="24"/>
        </w:rPr>
        <w:t>aplicación de los recursos del Fondo.</w:t>
      </w:r>
    </w:p>
    <w:p w:rsidR="00C51520" w:rsidRDefault="00C5152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185C">
        <w:rPr>
          <w:rFonts w:ascii="Arial" w:hAnsi="Arial" w:cs="Arial"/>
          <w:sz w:val="24"/>
          <w:szCs w:val="24"/>
        </w:rPr>
        <w:t xml:space="preserve">Es </w:t>
      </w:r>
      <w:r w:rsidR="00CF185C">
        <w:rPr>
          <w:rFonts w:ascii="Arial" w:hAnsi="Arial" w:cs="Arial"/>
          <w:sz w:val="24"/>
          <w:szCs w:val="24"/>
        </w:rPr>
        <w:t>importante</w:t>
      </w:r>
      <w:r w:rsidRPr="00CF185C">
        <w:rPr>
          <w:rFonts w:ascii="Arial" w:hAnsi="Arial" w:cs="Arial"/>
          <w:sz w:val="24"/>
          <w:szCs w:val="24"/>
        </w:rPr>
        <w:t xml:space="preserve"> que</w:t>
      </w:r>
      <w:r w:rsidR="00667F80">
        <w:rPr>
          <w:rFonts w:ascii="Arial" w:hAnsi="Arial" w:cs="Arial"/>
          <w:sz w:val="24"/>
          <w:szCs w:val="24"/>
        </w:rPr>
        <w:t>,</w:t>
      </w:r>
      <w:r w:rsidRPr="00CF185C">
        <w:rPr>
          <w:rFonts w:ascii="Arial" w:hAnsi="Arial" w:cs="Arial"/>
          <w:sz w:val="24"/>
          <w:szCs w:val="24"/>
        </w:rPr>
        <w:t xml:space="preserve"> para la aplicación</w:t>
      </w:r>
      <w:r w:rsidR="009800FF">
        <w:rPr>
          <w:rFonts w:ascii="Arial" w:hAnsi="Arial" w:cs="Arial"/>
          <w:sz w:val="24"/>
          <w:szCs w:val="24"/>
        </w:rPr>
        <w:t xml:space="preserve"> de los recursos</w:t>
      </w:r>
      <w:r w:rsidRPr="00CF185C">
        <w:rPr>
          <w:rFonts w:ascii="Arial" w:hAnsi="Arial" w:cs="Arial"/>
          <w:sz w:val="24"/>
          <w:szCs w:val="24"/>
        </w:rPr>
        <w:t xml:space="preserve"> del </w:t>
      </w:r>
      <w:r w:rsidR="0005309B">
        <w:rPr>
          <w:rFonts w:ascii="Arial" w:hAnsi="Arial" w:cs="Arial"/>
          <w:sz w:val="24"/>
          <w:szCs w:val="24"/>
        </w:rPr>
        <w:t>FISM-DF</w:t>
      </w:r>
      <w:r w:rsidRPr="00CF185C">
        <w:rPr>
          <w:rFonts w:ascii="Arial" w:hAnsi="Arial" w:cs="Arial"/>
          <w:sz w:val="24"/>
          <w:szCs w:val="24"/>
        </w:rPr>
        <w:t xml:space="preserve"> señalado, se realicen los procedimientos necesarios</w:t>
      </w:r>
      <w:r w:rsidR="00CF185C">
        <w:rPr>
          <w:rFonts w:ascii="Arial" w:hAnsi="Arial" w:cs="Arial"/>
          <w:sz w:val="24"/>
          <w:szCs w:val="24"/>
        </w:rPr>
        <w:t xml:space="preserve"> para </w:t>
      </w:r>
      <w:r w:rsidR="00667F80">
        <w:rPr>
          <w:rFonts w:ascii="Arial" w:hAnsi="Arial" w:cs="Arial"/>
          <w:sz w:val="24"/>
          <w:szCs w:val="24"/>
        </w:rPr>
        <w:t xml:space="preserve">que se compruebe al menos </w:t>
      </w:r>
      <w:r w:rsidR="00CF185C">
        <w:rPr>
          <w:rFonts w:ascii="Arial" w:hAnsi="Arial" w:cs="Arial"/>
          <w:sz w:val="24"/>
          <w:szCs w:val="24"/>
        </w:rPr>
        <w:t>lo siguiente</w:t>
      </w:r>
      <w:r w:rsidR="00667F80">
        <w:rPr>
          <w:rFonts w:ascii="Arial" w:hAnsi="Arial" w:cs="Arial"/>
          <w:sz w:val="24"/>
          <w:szCs w:val="24"/>
        </w:rPr>
        <w:t>:</w:t>
      </w:r>
    </w:p>
    <w:p w:rsidR="00482171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2171">
        <w:rPr>
          <w:rFonts w:ascii="Arial" w:hAnsi="Arial" w:cs="Arial"/>
          <w:b/>
          <w:sz w:val="24"/>
          <w:szCs w:val="24"/>
        </w:rPr>
        <w:t>Transferencia de recursos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reciba</w:t>
      </w:r>
      <w:r w:rsidRPr="004740A1">
        <w:rPr>
          <w:rFonts w:ascii="Arial" w:hAnsi="Arial" w:cs="Arial"/>
          <w:sz w:val="24"/>
          <w:szCs w:val="24"/>
        </w:rPr>
        <w:t xml:space="preserve"> la totalidad de los recursos asignados del </w:t>
      </w:r>
      <w:r>
        <w:rPr>
          <w:rFonts w:ascii="Arial" w:hAnsi="Arial" w:cs="Arial"/>
          <w:sz w:val="24"/>
          <w:szCs w:val="24"/>
        </w:rPr>
        <w:t>FISM-DF</w:t>
      </w:r>
      <w:r w:rsidRPr="004740A1">
        <w:rPr>
          <w:rFonts w:ascii="Arial" w:hAnsi="Arial" w:cs="Arial"/>
          <w:sz w:val="24"/>
          <w:szCs w:val="24"/>
        </w:rPr>
        <w:t xml:space="preserve"> en una cuenta bancaria específica y productiva en la que se manej</w:t>
      </w:r>
      <w:r>
        <w:rPr>
          <w:rFonts w:ascii="Arial" w:hAnsi="Arial" w:cs="Arial"/>
          <w:sz w:val="24"/>
          <w:szCs w:val="24"/>
        </w:rPr>
        <w:t>e</w:t>
      </w:r>
      <w:r w:rsidRPr="004740A1">
        <w:rPr>
          <w:rFonts w:ascii="Arial" w:hAnsi="Arial" w:cs="Arial"/>
          <w:sz w:val="24"/>
          <w:szCs w:val="24"/>
        </w:rPr>
        <w:t>n ex</w:t>
      </w:r>
      <w:r w:rsidR="00212258">
        <w:rPr>
          <w:rFonts w:ascii="Arial" w:hAnsi="Arial" w:cs="Arial"/>
          <w:sz w:val="24"/>
          <w:szCs w:val="24"/>
        </w:rPr>
        <w:t>clusivamente los recursos del FISM-DF</w:t>
      </w:r>
      <w:r w:rsidRPr="004740A1">
        <w:rPr>
          <w:rFonts w:ascii="Arial" w:hAnsi="Arial" w:cs="Arial"/>
          <w:sz w:val="24"/>
          <w:szCs w:val="24"/>
        </w:rPr>
        <w:t xml:space="preserve"> y sus rendimientos financieros del ejercicio fiscal </w:t>
      </w:r>
      <w:r>
        <w:rPr>
          <w:rFonts w:ascii="Arial" w:hAnsi="Arial" w:cs="Arial"/>
          <w:sz w:val="24"/>
          <w:szCs w:val="24"/>
        </w:rPr>
        <w:t>correspondiente.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expidan los municipios </w:t>
      </w:r>
      <w:r w:rsidRPr="00C33A89">
        <w:rPr>
          <w:rFonts w:ascii="Arial" w:hAnsi="Arial" w:cs="Arial"/>
          <w:sz w:val="24"/>
          <w:szCs w:val="24"/>
        </w:rPr>
        <w:t>CFDI o recibos</w:t>
      </w:r>
      <w:r>
        <w:rPr>
          <w:rFonts w:ascii="Arial" w:hAnsi="Arial" w:cs="Arial"/>
          <w:sz w:val="24"/>
          <w:szCs w:val="24"/>
        </w:rPr>
        <w:t xml:space="preserve">, </w:t>
      </w:r>
      <w:r w:rsidRPr="00CB5F22">
        <w:rPr>
          <w:rFonts w:ascii="Arial" w:hAnsi="Arial" w:cs="Arial"/>
          <w:sz w:val="24"/>
          <w:szCs w:val="24"/>
        </w:rPr>
        <w:t>mediante los cuales se acredite la recepción de los recursos</w:t>
      </w:r>
      <w:r>
        <w:rPr>
          <w:rFonts w:ascii="Arial" w:hAnsi="Arial" w:cs="Arial"/>
          <w:sz w:val="24"/>
          <w:szCs w:val="24"/>
        </w:rPr>
        <w:t>.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realicen los </w:t>
      </w:r>
      <w:r w:rsidRPr="00C33A89">
        <w:rPr>
          <w:rFonts w:ascii="Arial" w:hAnsi="Arial" w:cs="Arial"/>
          <w:sz w:val="24"/>
          <w:szCs w:val="24"/>
        </w:rPr>
        <w:t xml:space="preserve">reintegros </w:t>
      </w:r>
      <w:r>
        <w:rPr>
          <w:rFonts w:ascii="Arial" w:hAnsi="Arial" w:cs="Arial"/>
          <w:sz w:val="24"/>
          <w:szCs w:val="24"/>
        </w:rPr>
        <w:t>de recursos y rendimientos financieros, en su caso, a la SEFIN para que se</w:t>
      </w:r>
      <w:r w:rsidRPr="00C33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transferidos a</w:t>
      </w:r>
      <w:r w:rsidRPr="00C33A89">
        <w:rPr>
          <w:rFonts w:ascii="Arial" w:hAnsi="Arial" w:cs="Arial"/>
          <w:sz w:val="24"/>
          <w:szCs w:val="24"/>
        </w:rPr>
        <w:t xml:space="preserve"> la TESOFE</w:t>
      </w:r>
      <w:r>
        <w:rPr>
          <w:rFonts w:ascii="Arial" w:hAnsi="Arial" w:cs="Arial"/>
          <w:sz w:val="24"/>
          <w:szCs w:val="24"/>
        </w:rPr>
        <w:t xml:space="preserve"> en la</w:t>
      </w:r>
      <w:r w:rsidRPr="00C33A89">
        <w:rPr>
          <w:rFonts w:ascii="Arial" w:hAnsi="Arial" w:cs="Arial"/>
          <w:sz w:val="24"/>
          <w:szCs w:val="24"/>
        </w:rPr>
        <w:t xml:space="preserve"> fecha establecida en la normativa</w:t>
      </w:r>
      <w:r>
        <w:rPr>
          <w:rFonts w:ascii="Arial" w:hAnsi="Arial" w:cs="Arial"/>
          <w:sz w:val="24"/>
          <w:szCs w:val="24"/>
        </w:rPr>
        <w:t>.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SEFIN transfiera los recursos del </w:t>
      </w:r>
      <w:r w:rsidRPr="004740A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ISM-DF, a los municipios, en el plazo establecido según la normatividad.</w:t>
      </w:r>
    </w:p>
    <w:p w:rsidR="00592223" w:rsidRDefault="00C33A89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3A89">
        <w:rPr>
          <w:rFonts w:ascii="Arial" w:hAnsi="Arial" w:cs="Arial"/>
          <w:b/>
          <w:sz w:val="24"/>
          <w:szCs w:val="24"/>
        </w:rPr>
        <w:t>Distribución del recurso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municipios </w:t>
      </w:r>
      <w:proofErr w:type="spellStart"/>
      <w:r>
        <w:rPr>
          <w:rFonts w:ascii="Arial" w:hAnsi="Arial" w:cs="Arial"/>
          <w:sz w:val="24"/>
          <w:szCs w:val="24"/>
        </w:rPr>
        <w:t>aperturen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r w:rsidRPr="00C33A89">
        <w:rPr>
          <w:rFonts w:ascii="Arial" w:hAnsi="Arial" w:cs="Arial"/>
          <w:sz w:val="24"/>
          <w:szCs w:val="24"/>
        </w:rPr>
        <w:t>cuenta bancaria específica para la recepción y administración de los recursos</w:t>
      </w:r>
      <w:r w:rsidR="003261B6">
        <w:rPr>
          <w:rFonts w:ascii="Arial" w:hAnsi="Arial" w:cs="Arial"/>
          <w:sz w:val="24"/>
          <w:szCs w:val="24"/>
        </w:rPr>
        <w:t xml:space="preserve">, misma que </w:t>
      </w:r>
      <w:r w:rsidR="003261B6" w:rsidRPr="003261B6">
        <w:rPr>
          <w:rFonts w:ascii="Arial" w:hAnsi="Arial" w:cs="Arial"/>
          <w:sz w:val="24"/>
          <w:szCs w:val="24"/>
        </w:rPr>
        <w:t xml:space="preserve">deberá </w:t>
      </w:r>
      <w:r w:rsidR="003261B6">
        <w:rPr>
          <w:rFonts w:ascii="Arial" w:hAnsi="Arial" w:cs="Arial"/>
          <w:sz w:val="24"/>
          <w:szCs w:val="24"/>
        </w:rPr>
        <w:t xml:space="preserve">de </w:t>
      </w:r>
      <w:r w:rsidR="003261B6" w:rsidRPr="003261B6">
        <w:rPr>
          <w:rFonts w:ascii="Arial" w:hAnsi="Arial" w:cs="Arial"/>
          <w:sz w:val="24"/>
          <w:szCs w:val="24"/>
        </w:rPr>
        <w:t xml:space="preserve">notificar </w:t>
      </w:r>
      <w:r w:rsidR="00C4061D">
        <w:rPr>
          <w:rFonts w:ascii="Arial" w:hAnsi="Arial" w:cs="Arial"/>
          <w:sz w:val="24"/>
          <w:szCs w:val="24"/>
        </w:rPr>
        <w:t xml:space="preserve">a SEFIN </w:t>
      </w:r>
      <w:r w:rsidR="003261B6" w:rsidRPr="003261B6">
        <w:rPr>
          <w:rFonts w:ascii="Arial" w:hAnsi="Arial" w:cs="Arial"/>
          <w:sz w:val="24"/>
          <w:szCs w:val="24"/>
        </w:rPr>
        <w:t>dentro de los primeros diez (10) días naturales del mes de diciembre del ejercicio inmediato anterior al que se ministren los recursos subsecuentes</w:t>
      </w:r>
      <w:r w:rsidRPr="00C33A89">
        <w:rPr>
          <w:rFonts w:ascii="Arial" w:hAnsi="Arial" w:cs="Arial"/>
          <w:sz w:val="24"/>
          <w:szCs w:val="24"/>
        </w:rPr>
        <w:t>;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municipios expidan</w:t>
      </w:r>
      <w:r w:rsidRPr="00C33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Comprobante Fiscal</w:t>
      </w:r>
      <w:r w:rsidRPr="00C33A89">
        <w:rPr>
          <w:rFonts w:ascii="Arial" w:hAnsi="Arial" w:cs="Arial"/>
          <w:sz w:val="24"/>
          <w:szCs w:val="24"/>
        </w:rPr>
        <w:t xml:space="preserve"> Digital por Internet (CFDI)</w:t>
      </w:r>
      <w:r>
        <w:rPr>
          <w:rFonts w:ascii="Arial" w:hAnsi="Arial" w:cs="Arial"/>
          <w:sz w:val="24"/>
          <w:szCs w:val="24"/>
        </w:rPr>
        <w:t xml:space="preserve">, </w:t>
      </w:r>
      <w:r w:rsidRPr="00CB5F22">
        <w:rPr>
          <w:rFonts w:ascii="Arial" w:hAnsi="Arial" w:cs="Arial"/>
          <w:sz w:val="24"/>
          <w:szCs w:val="24"/>
        </w:rPr>
        <w:t>mediante los cuales se acredite la recepción de los recursos</w:t>
      </w:r>
      <w:r w:rsidRPr="00C33A89">
        <w:rPr>
          <w:rFonts w:ascii="Arial" w:hAnsi="Arial" w:cs="Arial"/>
          <w:sz w:val="24"/>
          <w:szCs w:val="24"/>
        </w:rPr>
        <w:t>;</w:t>
      </w:r>
    </w:p>
    <w:p w:rsidR="0005309B" w:rsidRDefault="0005309B" w:rsidP="00053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realicen los </w:t>
      </w:r>
      <w:r w:rsidRPr="00C33A89">
        <w:rPr>
          <w:rFonts w:ascii="Arial" w:hAnsi="Arial" w:cs="Arial"/>
          <w:sz w:val="24"/>
          <w:szCs w:val="24"/>
        </w:rPr>
        <w:t xml:space="preserve">reintegros </w:t>
      </w:r>
      <w:r>
        <w:rPr>
          <w:rFonts w:ascii="Arial" w:hAnsi="Arial" w:cs="Arial"/>
          <w:sz w:val="24"/>
          <w:szCs w:val="24"/>
        </w:rPr>
        <w:t>de recursos y rendimientos financieros, en su caso, a la SEFIN, para que se</w:t>
      </w:r>
      <w:r w:rsidRPr="00C33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transferidos a</w:t>
      </w:r>
      <w:r w:rsidRPr="00C33A89">
        <w:rPr>
          <w:rFonts w:ascii="Arial" w:hAnsi="Arial" w:cs="Arial"/>
          <w:sz w:val="24"/>
          <w:szCs w:val="24"/>
        </w:rPr>
        <w:t xml:space="preserve"> la Tesorería de la Federación (TESOFE)</w:t>
      </w:r>
      <w:r>
        <w:rPr>
          <w:rFonts w:ascii="Arial" w:hAnsi="Arial" w:cs="Arial"/>
          <w:sz w:val="24"/>
          <w:szCs w:val="24"/>
        </w:rPr>
        <w:t xml:space="preserve"> en la</w:t>
      </w:r>
      <w:r w:rsidRPr="00C33A89">
        <w:rPr>
          <w:rFonts w:ascii="Arial" w:hAnsi="Arial" w:cs="Arial"/>
          <w:sz w:val="24"/>
          <w:szCs w:val="24"/>
        </w:rPr>
        <w:t xml:space="preserve"> fecha establecida en la normativa</w:t>
      </w:r>
      <w:r>
        <w:rPr>
          <w:rFonts w:ascii="Arial" w:hAnsi="Arial" w:cs="Arial"/>
          <w:sz w:val="24"/>
          <w:szCs w:val="24"/>
        </w:rPr>
        <w:t>.</w:t>
      </w:r>
    </w:p>
    <w:p w:rsidR="00482171" w:rsidRDefault="004740A1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F80">
        <w:rPr>
          <w:rFonts w:ascii="Arial" w:hAnsi="Arial" w:cs="Arial"/>
          <w:b/>
          <w:sz w:val="24"/>
          <w:szCs w:val="24"/>
        </w:rPr>
        <w:lastRenderedPageBreak/>
        <w:t>Registro e información contable y presupuestaria</w:t>
      </w:r>
      <w:r w:rsidRPr="004740A1">
        <w:rPr>
          <w:rFonts w:ascii="Arial" w:hAnsi="Arial" w:cs="Arial"/>
          <w:sz w:val="24"/>
          <w:szCs w:val="24"/>
        </w:rPr>
        <w:t>.</w:t>
      </w:r>
      <w:r w:rsidR="00482171">
        <w:rPr>
          <w:rFonts w:ascii="Arial" w:hAnsi="Arial" w:cs="Arial"/>
          <w:sz w:val="24"/>
          <w:szCs w:val="24"/>
        </w:rPr>
        <w:t xml:space="preserve"> </w:t>
      </w:r>
    </w:p>
    <w:p w:rsidR="00592223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registre </w:t>
      </w:r>
      <w:r w:rsidR="004740A1" w:rsidRPr="004740A1">
        <w:rPr>
          <w:rFonts w:ascii="Arial" w:hAnsi="Arial" w:cs="Arial"/>
          <w:sz w:val="24"/>
          <w:szCs w:val="24"/>
        </w:rPr>
        <w:t xml:space="preserve">en </w:t>
      </w:r>
      <w:r w:rsidR="00482171">
        <w:rPr>
          <w:rFonts w:ascii="Arial" w:hAnsi="Arial" w:cs="Arial"/>
          <w:sz w:val="24"/>
          <w:szCs w:val="24"/>
        </w:rPr>
        <w:t>la</w:t>
      </w:r>
      <w:r w:rsidR="004740A1" w:rsidRPr="004740A1">
        <w:rPr>
          <w:rFonts w:ascii="Arial" w:hAnsi="Arial" w:cs="Arial"/>
          <w:sz w:val="24"/>
          <w:szCs w:val="24"/>
        </w:rPr>
        <w:t xml:space="preserve"> contabilidad las operaciones realizadas con los recursos del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05309B">
        <w:rPr>
          <w:rFonts w:ascii="Arial" w:hAnsi="Arial" w:cs="Arial"/>
          <w:sz w:val="24"/>
          <w:szCs w:val="24"/>
        </w:rPr>
        <w:t>FISM-DF</w:t>
      </w:r>
      <w:r w:rsidR="004740A1" w:rsidRPr="004740A1">
        <w:rPr>
          <w:rFonts w:ascii="Arial" w:hAnsi="Arial" w:cs="Arial"/>
          <w:sz w:val="24"/>
          <w:szCs w:val="24"/>
        </w:rPr>
        <w:t xml:space="preserve">; asimismo, que </w:t>
      </w:r>
      <w:r w:rsidR="009800FF">
        <w:rPr>
          <w:rFonts w:ascii="Arial" w:hAnsi="Arial" w:cs="Arial"/>
          <w:sz w:val="24"/>
          <w:szCs w:val="24"/>
        </w:rPr>
        <w:t xml:space="preserve">se </w:t>
      </w:r>
      <w:r w:rsidR="004740A1" w:rsidRPr="004740A1">
        <w:rPr>
          <w:rFonts w:ascii="Arial" w:hAnsi="Arial" w:cs="Arial"/>
          <w:sz w:val="24"/>
          <w:szCs w:val="24"/>
        </w:rPr>
        <w:t>disp</w:t>
      </w:r>
      <w:r w:rsidR="009800FF">
        <w:rPr>
          <w:rFonts w:ascii="Arial" w:hAnsi="Arial" w:cs="Arial"/>
          <w:sz w:val="24"/>
          <w:szCs w:val="24"/>
        </w:rPr>
        <w:t>onga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de la documentación justificativa y comprobatoria, la cual debe cumplir con los requisitos fiscales y estar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cancelada con la leyenda de “operado”, e identificada con el nombre del </w:t>
      </w:r>
      <w:r w:rsidR="0005309B">
        <w:rPr>
          <w:rFonts w:ascii="Arial" w:hAnsi="Arial" w:cs="Arial"/>
          <w:sz w:val="24"/>
          <w:szCs w:val="24"/>
        </w:rPr>
        <w:t>FISM-DF</w:t>
      </w:r>
      <w:r w:rsidR="004740A1" w:rsidRPr="004740A1">
        <w:rPr>
          <w:rFonts w:ascii="Arial" w:hAnsi="Arial" w:cs="Arial"/>
          <w:sz w:val="24"/>
          <w:szCs w:val="24"/>
        </w:rPr>
        <w:t>.</w:t>
      </w:r>
    </w:p>
    <w:p w:rsidR="00592223" w:rsidRDefault="00592223" w:rsidP="0059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realicen </w:t>
      </w:r>
      <w:r w:rsidRPr="00C33A89">
        <w:rPr>
          <w:rFonts w:ascii="Arial" w:hAnsi="Arial" w:cs="Arial"/>
          <w:sz w:val="24"/>
          <w:szCs w:val="24"/>
        </w:rPr>
        <w:t>las deducciones</w:t>
      </w:r>
      <w:r>
        <w:rPr>
          <w:rFonts w:ascii="Arial" w:hAnsi="Arial" w:cs="Arial"/>
          <w:sz w:val="24"/>
          <w:szCs w:val="24"/>
        </w:rPr>
        <w:t xml:space="preserve"> y enteros</w:t>
      </w:r>
      <w:r w:rsidR="007821D7">
        <w:rPr>
          <w:rFonts w:ascii="Arial" w:hAnsi="Arial" w:cs="Arial"/>
          <w:sz w:val="24"/>
          <w:szCs w:val="24"/>
        </w:rPr>
        <w:t xml:space="preserve"> de las obligaciones según corresponda.</w:t>
      </w:r>
    </w:p>
    <w:p w:rsidR="00482171" w:rsidRPr="00667F80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7F80">
        <w:rPr>
          <w:rFonts w:ascii="Arial" w:hAnsi="Arial" w:cs="Arial"/>
          <w:b/>
          <w:sz w:val="24"/>
          <w:szCs w:val="24"/>
        </w:rPr>
        <w:t>Destino del recurso</w:t>
      </w:r>
    </w:p>
    <w:p w:rsidR="00482171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 xml:space="preserve">ue </w:t>
      </w:r>
      <w:r w:rsidR="00CE42C2">
        <w:rPr>
          <w:rFonts w:ascii="Arial" w:hAnsi="Arial" w:cs="Arial"/>
          <w:sz w:val="24"/>
          <w:szCs w:val="24"/>
        </w:rPr>
        <w:t>e</w:t>
      </w:r>
      <w:r w:rsidR="004740A1" w:rsidRPr="004740A1">
        <w:rPr>
          <w:rFonts w:ascii="Arial" w:hAnsi="Arial" w:cs="Arial"/>
          <w:sz w:val="24"/>
          <w:szCs w:val="24"/>
        </w:rPr>
        <w:t xml:space="preserve">l recurso del </w:t>
      </w:r>
      <w:r w:rsidR="0005309B">
        <w:rPr>
          <w:rFonts w:ascii="Arial" w:hAnsi="Arial" w:cs="Arial"/>
          <w:sz w:val="24"/>
          <w:szCs w:val="24"/>
        </w:rPr>
        <w:t>FISM-DF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y sus accesorios se destin</w:t>
      </w:r>
      <w:r>
        <w:rPr>
          <w:rFonts w:ascii="Arial" w:hAnsi="Arial" w:cs="Arial"/>
          <w:sz w:val="24"/>
          <w:szCs w:val="24"/>
        </w:rPr>
        <w:t>en</w:t>
      </w:r>
      <w:r w:rsidR="004740A1" w:rsidRPr="004740A1">
        <w:rPr>
          <w:rFonts w:ascii="Arial" w:hAnsi="Arial" w:cs="Arial"/>
          <w:sz w:val="24"/>
          <w:szCs w:val="24"/>
        </w:rPr>
        <w:t xml:space="preserve"> al cumplimiento </w:t>
      </w:r>
      <w:r w:rsidR="00CE42C2">
        <w:rPr>
          <w:rFonts w:ascii="Arial" w:hAnsi="Arial" w:cs="Arial"/>
          <w:sz w:val="24"/>
          <w:szCs w:val="24"/>
        </w:rPr>
        <w:t xml:space="preserve">de </w:t>
      </w:r>
      <w:r w:rsidR="00E83A01" w:rsidRPr="00B800EE">
        <w:rPr>
          <w:rFonts w:ascii="Arial" w:hAnsi="Arial" w:cs="Arial"/>
          <w:sz w:val="24"/>
          <w:szCs w:val="24"/>
        </w:rPr>
        <w:t>obras, acciones sociales básicas y a inversiones que beneficien directamente a población en pobreza extrema, localidades con alto o muy alto nivel de rezago social</w:t>
      </w:r>
      <w:r w:rsidR="00E83A01">
        <w:rPr>
          <w:rFonts w:ascii="Arial" w:hAnsi="Arial" w:cs="Arial"/>
          <w:sz w:val="24"/>
          <w:szCs w:val="24"/>
        </w:rPr>
        <w:t>.</w:t>
      </w:r>
    </w:p>
    <w:p w:rsidR="000A7D3E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E23">
        <w:rPr>
          <w:rFonts w:ascii="Arial" w:hAnsi="Arial" w:cs="Arial"/>
          <w:b/>
          <w:sz w:val="24"/>
          <w:szCs w:val="24"/>
        </w:rPr>
        <w:t>Transparencia del ejercicio, destino y resultados del fondo</w:t>
      </w:r>
    </w:p>
    <w:p w:rsidR="000A7D3E" w:rsidRDefault="000A7D3E" w:rsidP="00300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0FF9">
        <w:rPr>
          <w:rFonts w:ascii="Arial" w:hAnsi="Arial" w:cs="Arial"/>
          <w:sz w:val="24"/>
          <w:szCs w:val="24"/>
        </w:rPr>
        <w:t xml:space="preserve">Que se publique en el plazo establecido en la normativa el cálculo y metodología para la distribución de los recursos del </w:t>
      </w:r>
      <w:r w:rsidR="0005309B">
        <w:rPr>
          <w:rFonts w:ascii="Arial" w:hAnsi="Arial" w:cs="Arial"/>
          <w:sz w:val="24"/>
          <w:szCs w:val="24"/>
        </w:rPr>
        <w:t>FISM-DF</w:t>
      </w:r>
      <w:r w:rsidRPr="00300FF9">
        <w:rPr>
          <w:rFonts w:ascii="Arial" w:hAnsi="Arial" w:cs="Arial"/>
          <w:sz w:val="24"/>
          <w:szCs w:val="24"/>
        </w:rPr>
        <w:t xml:space="preserve">. </w:t>
      </w:r>
    </w:p>
    <w:p w:rsidR="0005309B" w:rsidRPr="00300FF9" w:rsidRDefault="0005309B" w:rsidP="00300F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dé cumplimiento a lo establecido en el art. 33-b fracción II de la LCF.</w:t>
      </w:r>
    </w:p>
    <w:p w:rsidR="0005309B" w:rsidRDefault="0005309B" w:rsidP="00C32C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Pr="00474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4740A1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e</w:t>
      </w:r>
      <w:r w:rsidRPr="004740A1">
        <w:rPr>
          <w:rFonts w:ascii="Arial" w:hAnsi="Arial" w:cs="Arial"/>
          <w:sz w:val="24"/>
          <w:szCs w:val="24"/>
        </w:rPr>
        <w:t xml:space="preserve"> a la SHCP la información trimestral relacionada con el ejercicio, destino los resultados obtenidos de los recursos del </w:t>
      </w:r>
      <w:r w:rsidR="005409C3">
        <w:rPr>
          <w:rFonts w:ascii="Arial" w:hAnsi="Arial" w:cs="Arial"/>
          <w:sz w:val="24"/>
          <w:szCs w:val="24"/>
        </w:rPr>
        <w:t>FISM-</w:t>
      </w:r>
      <w:r w:rsidRPr="004740A1">
        <w:rPr>
          <w:rFonts w:ascii="Arial" w:hAnsi="Arial" w:cs="Arial"/>
          <w:sz w:val="24"/>
          <w:szCs w:val="24"/>
        </w:rPr>
        <w:t>DF, y de manera pormenorizada, el</w:t>
      </w:r>
      <w:r>
        <w:rPr>
          <w:rFonts w:ascii="Arial" w:hAnsi="Arial" w:cs="Arial"/>
          <w:sz w:val="24"/>
          <w:szCs w:val="24"/>
        </w:rPr>
        <w:t xml:space="preserve"> </w:t>
      </w:r>
      <w:r w:rsidRPr="004740A1">
        <w:rPr>
          <w:rFonts w:ascii="Arial" w:hAnsi="Arial" w:cs="Arial"/>
          <w:sz w:val="24"/>
          <w:szCs w:val="24"/>
        </w:rPr>
        <w:t>avance físico y la aplicación de los principales indicadores sobre los resultados, avances e impacto social de los programas y proyectos en el cumplimiento de los objetivos y metas</w:t>
      </w:r>
      <w:r>
        <w:rPr>
          <w:rFonts w:ascii="Arial" w:hAnsi="Arial" w:cs="Arial"/>
          <w:sz w:val="24"/>
          <w:szCs w:val="24"/>
        </w:rPr>
        <w:t xml:space="preserve"> por medio del Sistema de Recursos Federales Transferidos (SRFT)</w:t>
      </w:r>
      <w:r w:rsidRPr="004740A1">
        <w:rPr>
          <w:rFonts w:ascii="Arial" w:hAnsi="Arial" w:cs="Arial"/>
          <w:sz w:val="24"/>
          <w:szCs w:val="24"/>
        </w:rPr>
        <w:t>.</w:t>
      </w:r>
    </w:p>
    <w:p w:rsidR="00695D47" w:rsidRPr="00DD1F3C" w:rsidRDefault="004740A1" w:rsidP="00DD1F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F3C">
        <w:rPr>
          <w:rFonts w:ascii="Arial" w:hAnsi="Arial" w:cs="Arial"/>
          <w:b/>
          <w:bCs/>
          <w:sz w:val="24"/>
          <w:szCs w:val="24"/>
        </w:rPr>
        <w:t>Obra Pública</w:t>
      </w:r>
    </w:p>
    <w:p w:rsidR="004740A1" w:rsidRPr="004740A1" w:rsidRDefault="00523532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cumpla la normatividad</w:t>
      </w:r>
      <w:r w:rsidR="004740A1" w:rsidRPr="004740A1">
        <w:rPr>
          <w:rFonts w:ascii="Arial" w:hAnsi="Arial" w:cs="Arial"/>
          <w:sz w:val="24"/>
          <w:szCs w:val="24"/>
        </w:rPr>
        <w:t xml:space="preserve"> en los procesos de adjudicación y</w:t>
      </w:r>
      <w:r w:rsidR="009800FF">
        <w:rPr>
          <w:rFonts w:ascii="Arial" w:hAnsi="Arial" w:cs="Arial"/>
          <w:sz w:val="24"/>
          <w:szCs w:val="24"/>
        </w:rPr>
        <w:t xml:space="preserve"> contratación, que las</w:t>
      </w:r>
      <w:r w:rsidR="004740A1" w:rsidRPr="004740A1">
        <w:rPr>
          <w:rFonts w:ascii="Arial" w:hAnsi="Arial" w:cs="Arial"/>
          <w:sz w:val="24"/>
          <w:szCs w:val="24"/>
        </w:rPr>
        <w:t xml:space="preserve"> obras est</w:t>
      </w:r>
      <w:r w:rsidR="009800FF">
        <w:rPr>
          <w:rFonts w:ascii="Arial" w:hAnsi="Arial" w:cs="Arial"/>
          <w:sz w:val="24"/>
          <w:szCs w:val="24"/>
        </w:rPr>
        <w:t>én</w:t>
      </w:r>
      <w:r w:rsidR="00695D47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amparadas en un contrato debidamente formalizado y </w:t>
      </w:r>
      <w:r>
        <w:rPr>
          <w:rFonts w:ascii="Arial" w:hAnsi="Arial" w:cs="Arial"/>
          <w:sz w:val="24"/>
          <w:szCs w:val="24"/>
        </w:rPr>
        <w:t>que se cuente</w:t>
      </w:r>
      <w:r w:rsidR="00695D47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con las fianzas correspondientes.</w:t>
      </w:r>
    </w:p>
    <w:p w:rsidR="00695D47" w:rsidRDefault="00523532" w:rsidP="000B3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 xml:space="preserve">ue las obras ejecutadas con los recursos del </w:t>
      </w:r>
      <w:r w:rsidR="009E17E4" w:rsidRPr="009E17E4">
        <w:rPr>
          <w:rFonts w:ascii="Arial" w:hAnsi="Arial" w:cs="Arial"/>
          <w:sz w:val="24"/>
          <w:szCs w:val="24"/>
        </w:rPr>
        <w:t>FISM-DF</w:t>
      </w:r>
      <w:r w:rsidR="009E17E4">
        <w:rPr>
          <w:rFonts w:ascii="Arial" w:hAnsi="Arial" w:cs="Arial"/>
          <w:sz w:val="24"/>
          <w:szCs w:val="24"/>
        </w:rPr>
        <w:t>,</w:t>
      </w:r>
      <w:r w:rsidR="004740A1" w:rsidRPr="004740A1">
        <w:rPr>
          <w:rFonts w:ascii="Arial" w:hAnsi="Arial" w:cs="Arial"/>
          <w:sz w:val="24"/>
          <w:szCs w:val="24"/>
        </w:rPr>
        <w:t xml:space="preserve"> cump</w:t>
      </w:r>
      <w:r w:rsidR="009800FF">
        <w:rPr>
          <w:rFonts w:ascii="Arial" w:hAnsi="Arial" w:cs="Arial"/>
          <w:sz w:val="24"/>
          <w:szCs w:val="24"/>
        </w:rPr>
        <w:t>lan</w:t>
      </w:r>
      <w:r w:rsidR="004740A1" w:rsidRPr="004740A1">
        <w:rPr>
          <w:rFonts w:ascii="Arial" w:hAnsi="Arial" w:cs="Arial"/>
          <w:sz w:val="24"/>
          <w:szCs w:val="24"/>
        </w:rPr>
        <w:t xml:space="preserve"> con los plazos de ejecución, </w:t>
      </w:r>
      <w:r>
        <w:rPr>
          <w:rFonts w:ascii="Arial" w:hAnsi="Arial" w:cs="Arial"/>
          <w:sz w:val="24"/>
          <w:szCs w:val="24"/>
        </w:rPr>
        <w:t>se concluyan</w:t>
      </w:r>
      <w:r w:rsidR="004740A1" w:rsidRPr="004740A1">
        <w:rPr>
          <w:rFonts w:ascii="Arial" w:hAnsi="Arial" w:cs="Arial"/>
          <w:sz w:val="24"/>
          <w:szCs w:val="24"/>
        </w:rPr>
        <w:t>, operan adecuadamente y se ejecut</w:t>
      </w:r>
      <w:r>
        <w:rPr>
          <w:rFonts w:ascii="Arial" w:hAnsi="Arial" w:cs="Arial"/>
          <w:sz w:val="24"/>
          <w:szCs w:val="24"/>
        </w:rPr>
        <w:t>en</w:t>
      </w:r>
      <w:r w:rsidR="004740A1" w:rsidRPr="004740A1">
        <w:rPr>
          <w:rFonts w:ascii="Arial" w:hAnsi="Arial" w:cs="Arial"/>
          <w:sz w:val="24"/>
          <w:szCs w:val="24"/>
        </w:rPr>
        <w:t xml:space="preserve"> conforme a lo contratado.</w:t>
      </w:r>
    </w:p>
    <w:p w:rsidR="00695D47" w:rsidRDefault="00523532" w:rsidP="000B3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>ue antes de</w:t>
      </w:r>
      <w:r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la ejecución de obras por Administración Directa, </w:t>
      </w:r>
      <w:r>
        <w:rPr>
          <w:rFonts w:ascii="Arial" w:hAnsi="Arial" w:cs="Arial"/>
          <w:sz w:val="24"/>
          <w:szCs w:val="24"/>
        </w:rPr>
        <w:t>se cuente c</w:t>
      </w:r>
      <w:r w:rsidR="004740A1" w:rsidRPr="004740A1">
        <w:rPr>
          <w:rFonts w:ascii="Arial" w:hAnsi="Arial" w:cs="Arial"/>
          <w:sz w:val="24"/>
          <w:szCs w:val="24"/>
        </w:rPr>
        <w:t xml:space="preserve">on el acuerdo de ejecución, que tuvo capacidad técnica y administrativa para su realización y, en su caso, que las obras fueron entregadas a las instancias correspondientes para su operación; asimismo, verificar, mediante visita física, que las obras </w:t>
      </w:r>
      <w:r>
        <w:rPr>
          <w:rFonts w:ascii="Arial" w:hAnsi="Arial" w:cs="Arial"/>
          <w:sz w:val="24"/>
          <w:szCs w:val="24"/>
        </w:rPr>
        <w:t>se concluyan y</w:t>
      </w:r>
      <w:r w:rsidR="004740A1" w:rsidRPr="004740A1">
        <w:rPr>
          <w:rFonts w:ascii="Arial" w:hAnsi="Arial" w:cs="Arial"/>
          <w:sz w:val="24"/>
          <w:szCs w:val="24"/>
        </w:rPr>
        <w:t xml:space="preserve"> oper</w:t>
      </w:r>
      <w:r>
        <w:rPr>
          <w:rFonts w:ascii="Arial" w:hAnsi="Arial" w:cs="Arial"/>
          <w:sz w:val="24"/>
          <w:szCs w:val="24"/>
        </w:rPr>
        <w:t>en</w:t>
      </w:r>
      <w:r w:rsidR="004740A1" w:rsidRPr="004740A1">
        <w:rPr>
          <w:rFonts w:ascii="Arial" w:hAnsi="Arial" w:cs="Arial"/>
          <w:sz w:val="24"/>
          <w:szCs w:val="24"/>
        </w:rPr>
        <w:t>.</w:t>
      </w:r>
    </w:p>
    <w:p w:rsidR="00695D47" w:rsidRPr="00B4374C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74C">
        <w:rPr>
          <w:rFonts w:ascii="Arial" w:hAnsi="Arial" w:cs="Arial"/>
          <w:b/>
          <w:sz w:val="24"/>
          <w:szCs w:val="24"/>
        </w:rPr>
        <w:t xml:space="preserve">Cumplimiento de objetivos y metas </w:t>
      </w:r>
      <w:r w:rsidR="0005309B">
        <w:rPr>
          <w:rFonts w:ascii="Arial" w:hAnsi="Arial" w:cs="Arial"/>
          <w:b/>
          <w:sz w:val="24"/>
          <w:szCs w:val="24"/>
        </w:rPr>
        <w:t>FISM-DF</w:t>
      </w:r>
      <w:r w:rsidR="009E17E4">
        <w:rPr>
          <w:rFonts w:ascii="Arial" w:hAnsi="Arial" w:cs="Arial"/>
          <w:b/>
          <w:sz w:val="24"/>
          <w:szCs w:val="24"/>
        </w:rPr>
        <w:t>.</w:t>
      </w:r>
    </w:p>
    <w:p w:rsidR="00EE5F3F" w:rsidRDefault="004740A1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0A1">
        <w:rPr>
          <w:rFonts w:ascii="Arial" w:hAnsi="Arial" w:cs="Arial"/>
          <w:sz w:val="24"/>
          <w:szCs w:val="24"/>
        </w:rPr>
        <w:t xml:space="preserve">Analizar el impacto de la utilización de los recursos del </w:t>
      </w:r>
      <w:r w:rsidR="009E17E4" w:rsidRPr="009E17E4">
        <w:rPr>
          <w:rFonts w:ascii="Arial" w:hAnsi="Arial" w:cs="Arial"/>
          <w:sz w:val="24"/>
          <w:szCs w:val="24"/>
        </w:rPr>
        <w:t>FISM-DF</w:t>
      </w:r>
      <w:r w:rsidRPr="004740A1">
        <w:rPr>
          <w:rFonts w:ascii="Arial" w:hAnsi="Arial" w:cs="Arial"/>
          <w:sz w:val="24"/>
          <w:szCs w:val="24"/>
        </w:rPr>
        <w:t xml:space="preserve"> y su contribución al fortalecimiento </w:t>
      </w:r>
      <w:r w:rsidR="00B4374C">
        <w:rPr>
          <w:rFonts w:ascii="Arial" w:hAnsi="Arial" w:cs="Arial"/>
          <w:sz w:val="24"/>
          <w:szCs w:val="24"/>
        </w:rPr>
        <w:t>y</w:t>
      </w:r>
      <w:r w:rsidRPr="004740A1">
        <w:rPr>
          <w:rFonts w:ascii="Arial" w:hAnsi="Arial" w:cs="Arial"/>
          <w:sz w:val="24"/>
          <w:szCs w:val="24"/>
        </w:rPr>
        <w:t xml:space="preserve"> logro de las estrategias y objetivos planteados en la política pública</w:t>
      </w:r>
      <w:r w:rsidR="00695D47">
        <w:rPr>
          <w:rFonts w:ascii="Arial" w:hAnsi="Arial" w:cs="Arial"/>
          <w:sz w:val="24"/>
          <w:szCs w:val="24"/>
        </w:rPr>
        <w:t>.</w:t>
      </w:r>
    </w:p>
    <w:p w:rsidR="00335E04" w:rsidRDefault="00335E04" w:rsidP="00482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D20834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proceso</w:t>
      </w:r>
      <w:r w:rsidR="00D208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D20834">
        <w:rPr>
          <w:rFonts w:ascii="Arial" w:hAnsi="Arial" w:cs="Arial"/>
          <w:sz w:val="24"/>
          <w:szCs w:val="24"/>
        </w:rPr>
        <w:t xml:space="preserve">distribución de los recursos del </w:t>
      </w:r>
      <w:r w:rsidR="009E17E4" w:rsidRPr="009E17E4">
        <w:rPr>
          <w:rFonts w:ascii="Arial" w:hAnsi="Arial" w:cs="Arial"/>
          <w:sz w:val="24"/>
          <w:szCs w:val="24"/>
        </w:rPr>
        <w:t>FISM-DF</w:t>
      </w:r>
      <w:r w:rsidR="00D20834">
        <w:rPr>
          <w:rFonts w:ascii="Arial" w:hAnsi="Arial" w:cs="Arial"/>
          <w:sz w:val="24"/>
          <w:szCs w:val="24"/>
        </w:rPr>
        <w:t xml:space="preserve"> entre las entidades federativas y su transferencia; distribución de los recursos del fondo entre los municipios y su transferencia y ejercicio de los</w:t>
      </w:r>
      <w:r>
        <w:rPr>
          <w:rFonts w:ascii="Arial" w:hAnsi="Arial" w:cs="Arial"/>
          <w:sz w:val="24"/>
          <w:szCs w:val="24"/>
        </w:rPr>
        <w:t xml:space="preserve"> recursos, inter</w:t>
      </w:r>
      <w:r w:rsidR="00FC3EFD">
        <w:rPr>
          <w:rFonts w:ascii="Arial" w:hAnsi="Arial" w:cs="Arial"/>
          <w:sz w:val="24"/>
          <w:szCs w:val="24"/>
        </w:rPr>
        <w:t>vienen</w:t>
      </w:r>
      <w:r>
        <w:rPr>
          <w:rFonts w:ascii="Arial" w:hAnsi="Arial" w:cs="Arial"/>
          <w:sz w:val="24"/>
          <w:szCs w:val="24"/>
        </w:rPr>
        <w:t xml:space="preserve"> diferentes</w:t>
      </w:r>
      <w:r w:rsidR="00FC3EFD">
        <w:rPr>
          <w:rFonts w:ascii="Arial" w:hAnsi="Arial" w:cs="Arial"/>
          <w:sz w:val="24"/>
          <w:szCs w:val="24"/>
        </w:rPr>
        <w:t xml:space="preserve"> instancias del</w:t>
      </w:r>
      <w:r w:rsidR="00FC3EFD" w:rsidRPr="00FC3EFD">
        <w:rPr>
          <w:rFonts w:ascii="Arial" w:hAnsi="Arial" w:cs="Arial"/>
          <w:sz w:val="24"/>
          <w:szCs w:val="24"/>
        </w:rPr>
        <w:t xml:space="preserve"> </w:t>
      </w:r>
      <w:r w:rsidR="00FC3EFD">
        <w:rPr>
          <w:rFonts w:ascii="Arial" w:hAnsi="Arial" w:cs="Arial"/>
          <w:sz w:val="24"/>
          <w:szCs w:val="24"/>
        </w:rPr>
        <w:t>Gobierno Federal, Gobierno del Estado y Municipios del Estado de Zacatecas,</w:t>
      </w:r>
      <w:r>
        <w:rPr>
          <w:rFonts w:ascii="Arial" w:hAnsi="Arial" w:cs="Arial"/>
          <w:sz w:val="24"/>
          <w:szCs w:val="24"/>
        </w:rPr>
        <w:t xml:space="preserve"> según su competencia.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b/>
          <w:sz w:val="24"/>
          <w:szCs w:val="24"/>
        </w:rPr>
        <w:t xml:space="preserve">El procedimiento que se seguirá para convenir la distribución </w:t>
      </w:r>
      <w:r w:rsidR="00AE790B">
        <w:rPr>
          <w:rFonts w:ascii="Arial" w:hAnsi="Arial" w:cs="Arial"/>
          <w:b/>
          <w:sz w:val="24"/>
          <w:szCs w:val="24"/>
        </w:rPr>
        <w:t xml:space="preserve">del </w:t>
      </w:r>
      <w:r w:rsidR="0005309B">
        <w:rPr>
          <w:rFonts w:ascii="Arial" w:hAnsi="Arial" w:cs="Arial"/>
          <w:b/>
          <w:sz w:val="24"/>
          <w:szCs w:val="24"/>
        </w:rPr>
        <w:t>FISM-DF</w:t>
      </w:r>
      <w:r w:rsidRPr="00FF0734">
        <w:rPr>
          <w:rFonts w:ascii="Arial" w:hAnsi="Arial" w:cs="Arial"/>
          <w:b/>
          <w:sz w:val="24"/>
          <w:szCs w:val="24"/>
        </w:rPr>
        <w:t xml:space="preserve"> será el siguiente</w:t>
      </w:r>
      <w:r>
        <w:rPr>
          <w:rFonts w:ascii="Arial" w:hAnsi="Arial" w:cs="Arial"/>
          <w:sz w:val="24"/>
          <w:szCs w:val="24"/>
        </w:rPr>
        <w:t xml:space="preserve">, según lo establece los </w:t>
      </w:r>
      <w:r w:rsidRPr="000D0394">
        <w:rPr>
          <w:rFonts w:ascii="Arial" w:hAnsi="Arial" w:cs="Arial"/>
          <w:b/>
          <w:sz w:val="24"/>
          <w:szCs w:val="24"/>
        </w:rPr>
        <w:t>Lineamientos Generales para la operación del Fondo de Aportaciones para la Infraestructura Social.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I. La Dirección General de Desarrollo Regional de la Secretaría de Bienestar envía a las entidades por medio electrónico el Convenio y el Anexo Técnico aprobado por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la Unidad del Abogado General y Comisionado para la Transparencia de la Secretaría de Bienestar.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II. La Dirección General de Desarrollo Regional de la Secretaría de Bienestar informa a las Entidades las acciones necesarias para su suscripción, a más tardar los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primeros 15 días hábiles de enero.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III. Las entidades podrán solicitar a la Dirección General de Desarrollo Regional de la Secretaría de Bienestar, la asesoría necesaria para llevar a cabo el cálculo de la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 xml:space="preserve">distribución del </w:t>
      </w:r>
      <w:r w:rsidR="0005309B">
        <w:rPr>
          <w:rFonts w:ascii="Arial" w:hAnsi="Arial" w:cs="Arial"/>
          <w:sz w:val="24"/>
          <w:szCs w:val="24"/>
        </w:rPr>
        <w:t>FISM-DF</w:t>
      </w:r>
      <w:r w:rsidRPr="00FF0734">
        <w:rPr>
          <w:rFonts w:ascii="Arial" w:hAnsi="Arial" w:cs="Arial"/>
          <w:sz w:val="24"/>
          <w:szCs w:val="24"/>
        </w:rPr>
        <w:t xml:space="preserve"> con base en la fórmula establecida en el artículo 34 de la LCF.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IV. Las entidades envían a la Dirección General de Desarrollo Regional de la Secretaría de Bienestar, la propuesta de metodología y los resultados del cálculo de la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 xml:space="preserve">distribución del </w:t>
      </w:r>
      <w:r w:rsidR="0005309B">
        <w:rPr>
          <w:rFonts w:ascii="Arial" w:hAnsi="Arial" w:cs="Arial"/>
          <w:sz w:val="24"/>
          <w:szCs w:val="24"/>
        </w:rPr>
        <w:t>FISM-DF</w:t>
      </w:r>
      <w:r w:rsidRPr="00FF0734">
        <w:rPr>
          <w:rFonts w:ascii="Arial" w:hAnsi="Arial" w:cs="Arial"/>
          <w:sz w:val="24"/>
          <w:szCs w:val="24"/>
        </w:rPr>
        <w:t xml:space="preserve"> para su revisión y validación.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V. La Dirección General de Desarrollo Regional de la Secretaría de Bienestar revisa la propuesta de la entidad, y en su caso, emite los comentarios para su validación.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VI. Las entidades envían a la Dirección General de Desarrollo Regional de la Secretaría de Bienestar, el Convenio y el Anexo Técnico firmado por los representantes del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gobierno en la entidad con el fin de recabar la firma del servidor público que fungirá como enlace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para el Programa de Desarrollo Institucional Municipal y de las Demarcaciones Territoriales del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Distrito Federal, que será convenido entre el Ejecutivo Federal, a través de BIENESTAR, el Gobierno de la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Entidad correspondiente y el municipio o alcaldías de que se trate, a más tardar el 25 de enero del ejercicio aplicable.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VII. La Dirección General de Desarrollo Regional de la Secretaría de Bienestar envía un ejemplar original del Convenio y el Anexo firmado por los que los suscriben para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recabar la firma del titular de la Dependencia o del servidor público a quien ésta designe.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VIII. La Dirección General de Desarrollo Regional de la Secretaría de Bienestar envía un ejemplar original del Convenio y Anexo Técnico firmado por los que lo suscriben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al representante de la entidad.</w:t>
      </w:r>
    </w:p>
    <w:p w:rsid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IX. La Dirección General de Desarrollo Regional de la Secretaría de Bienestar publica en la página electrónica de BIENESTAR, los Convenios y Anexos Técnicos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>convenidos con las entidade</w:t>
      </w:r>
      <w:r>
        <w:rPr>
          <w:rFonts w:ascii="Arial" w:hAnsi="Arial" w:cs="Arial"/>
          <w:sz w:val="24"/>
          <w:szCs w:val="24"/>
        </w:rPr>
        <w:t>s.</w:t>
      </w:r>
    </w:p>
    <w:p w:rsidR="00FF0734" w:rsidRP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X. Las entidades envían a la Dirección General de Desarrollo Regional de la Secretaría de Bienestar y en su caso, a las Delegaciones, un ejemplar de la publicación en</w:t>
      </w:r>
      <w:r>
        <w:rPr>
          <w:rFonts w:ascii="Arial" w:hAnsi="Arial" w:cs="Arial"/>
          <w:sz w:val="24"/>
          <w:szCs w:val="24"/>
        </w:rPr>
        <w:t xml:space="preserve"> </w:t>
      </w:r>
      <w:r w:rsidRPr="00FF0734">
        <w:rPr>
          <w:rFonts w:ascii="Arial" w:hAnsi="Arial" w:cs="Arial"/>
          <w:sz w:val="24"/>
          <w:szCs w:val="24"/>
        </w:rPr>
        <w:t xml:space="preserve">su órgano oficial de difusión de la distribución del </w:t>
      </w:r>
      <w:r w:rsidR="0005309B">
        <w:rPr>
          <w:rFonts w:ascii="Arial" w:hAnsi="Arial" w:cs="Arial"/>
          <w:sz w:val="24"/>
          <w:szCs w:val="24"/>
        </w:rPr>
        <w:t>FISM-DF</w:t>
      </w:r>
      <w:r w:rsidRPr="00FF0734">
        <w:rPr>
          <w:rFonts w:ascii="Arial" w:hAnsi="Arial" w:cs="Arial"/>
          <w:sz w:val="24"/>
          <w:szCs w:val="24"/>
        </w:rPr>
        <w:t xml:space="preserve"> del ejercicio fiscal de que se trate.</w:t>
      </w:r>
    </w:p>
    <w:p w:rsidR="00FF0734" w:rsidRDefault="00FF0734" w:rsidP="00FF07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0734">
        <w:rPr>
          <w:rFonts w:ascii="Arial" w:hAnsi="Arial" w:cs="Arial"/>
          <w:sz w:val="24"/>
          <w:szCs w:val="24"/>
        </w:rPr>
        <w:t>XI. La Dirección General de Desarrollo Regional de la Secretaría de Bienestar publica en la página electrónica de BIENESTAR, las publicaciones de la distribución del</w:t>
      </w:r>
      <w:r>
        <w:rPr>
          <w:rFonts w:ascii="Arial" w:hAnsi="Arial" w:cs="Arial"/>
          <w:sz w:val="24"/>
          <w:szCs w:val="24"/>
        </w:rPr>
        <w:t xml:space="preserve"> </w:t>
      </w:r>
      <w:r w:rsidR="0005309B">
        <w:rPr>
          <w:rFonts w:ascii="Arial" w:hAnsi="Arial" w:cs="Arial"/>
          <w:sz w:val="24"/>
          <w:szCs w:val="24"/>
        </w:rPr>
        <w:t>FISM-DF</w:t>
      </w:r>
      <w:r w:rsidRPr="00FF0734">
        <w:rPr>
          <w:rFonts w:ascii="Arial" w:hAnsi="Arial" w:cs="Arial"/>
          <w:sz w:val="24"/>
          <w:szCs w:val="24"/>
        </w:rPr>
        <w:t xml:space="preserve"> de las entidades del ejercicio fiscal de que se trate</w:t>
      </w:r>
      <w:r>
        <w:rPr>
          <w:rFonts w:ascii="Arial" w:hAnsi="Arial" w:cs="Arial"/>
          <w:sz w:val="24"/>
          <w:szCs w:val="24"/>
        </w:rPr>
        <w:t>.</w:t>
      </w:r>
    </w:p>
    <w:p w:rsidR="006D0B9A" w:rsidRDefault="006D0B9A" w:rsidP="00482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6D0B9A">
        <w:rPr>
          <w:rFonts w:ascii="Arial" w:hAnsi="Arial" w:cs="Arial"/>
          <w:sz w:val="24"/>
          <w:szCs w:val="24"/>
        </w:rPr>
        <w:t xml:space="preserve"> LCF dispone en su artículo 35 que con objeto de apoyar a las entidades en la aplicación de sus fórmulas, la Secretaría de Desarrollo Social </w:t>
      </w:r>
      <w:r w:rsidR="004F1C91">
        <w:rPr>
          <w:rFonts w:ascii="Arial" w:hAnsi="Arial" w:cs="Arial"/>
          <w:sz w:val="24"/>
          <w:szCs w:val="24"/>
        </w:rPr>
        <w:t xml:space="preserve">(Secretaría de Bienestar) </w:t>
      </w:r>
      <w:r w:rsidRPr="006D0B9A">
        <w:rPr>
          <w:rFonts w:ascii="Arial" w:hAnsi="Arial" w:cs="Arial"/>
          <w:sz w:val="24"/>
          <w:szCs w:val="24"/>
        </w:rPr>
        <w:t xml:space="preserve">publicará en el </w:t>
      </w:r>
      <w:r w:rsidR="00633E77">
        <w:rPr>
          <w:rFonts w:ascii="Arial" w:hAnsi="Arial" w:cs="Arial"/>
          <w:sz w:val="24"/>
          <w:szCs w:val="24"/>
        </w:rPr>
        <w:t>DOF</w:t>
      </w:r>
      <w:r w:rsidRPr="006D0B9A">
        <w:rPr>
          <w:rFonts w:ascii="Arial" w:hAnsi="Arial" w:cs="Arial"/>
          <w:sz w:val="24"/>
          <w:szCs w:val="24"/>
        </w:rPr>
        <w:t>, a más tardar en los primeros diez días del ejercicio fiscal de que se trate, las variables y fuentes de información disponibles a nivel municipal y de las demarcaciones territoriales para cada entidad</w:t>
      </w:r>
      <w:r w:rsidR="00D30FF7">
        <w:rPr>
          <w:rFonts w:ascii="Arial" w:hAnsi="Arial" w:cs="Arial"/>
          <w:sz w:val="24"/>
          <w:szCs w:val="24"/>
        </w:rPr>
        <w:t xml:space="preserve">, </w:t>
      </w:r>
      <w:r w:rsidR="00D30FF7" w:rsidRPr="006D0B9A">
        <w:rPr>
          <w:rFonts w:ascii="Arial" w:hAnsi="Arial" w:cs="Arial"/>
          <w:sz w:val="24"/>
          <w:szCs w:val="24"/>
        </w:rPr>
        <w:t xml:space="preserve">Acuerdo </w:t>
      </w:r>
      <w:r w:rsidR="00D30FF7">
        <w:rPr>
          <w:rFonts w:ascii="Arial" w:hAnsi="Arial" w:cs="Arial"/>
          <w:sz w:val="24"/>
          <w:szCs w:val="24"/>
        </w:rPr>
        <w:t>q</w:t>
      </w:r>
      <w:r w:rsidR="00D30FF7" w:rsidRPr="006D0B9A">
        <w:rPr>
          <w:rFonts w:ascii="Arial" w:hAnsi="Arial" w:cs="Arial"/>
          <w:sz w:val="24"/>
          <w:szCs w:val="24"/>
        </w:rPr>
        <w:t xml:space="preserve">ue </w:t>
      </w:r>
      <w:r w:rsidR="00D30FF7">
        <w:rPr>
          <w:rFonts w:ascii="Arial" w:hAnsi="Arial" w:cs="Arial"/>
          <w:sz w:val="24"/>
          <w:szCs w:val="24"/>
        </w:rPr>
        <w:t>t</w:t>
      </w:r>
      <w:r w:rsidR="00D30FF7" w:rsidRPr="006D0B9A">
        <w:rPr>
          <w:rFonts w:ascii="Arial" w:hAnsi="Arial" w:cs="Arial"/>
          <w:sz w:val="24"/>
          <w:szCs w:val="24"/>
        </w:rPr>
        <w:t xml:space="preserve">iene </w:t>
      </w:r>
      <w:r w:rsidR="00D30FF7">
        <w:rPr>
          <w:rFonts w:ascii="Arial" w:hAnsi="Arial" w:cs="Arial"/>
          <w:sz w:val="24"/>
          <w:szCs w:val="24"/>
        </w:rPr>
        <w:t>p</w:t>
      </w:r>
      <w:r w:rsidR="00D30FF7" w:rsidRPr="006D0B9A">
        <w:rPr>
          <w:rFonts w:ascii="Arial" w:hAnsi="Arial" w:cs="Arial"/>
          <w:sz w:val="24"/>
          <w:szCs w:val="24"/>
        </w:rPr>
        <w:t xml:space="preserve">or </w:t>
      </w:r>
      <w:r w:rsidR="00D30FF7">
        <w:rPr>
          <w:rFonts w:ascii="Arial" w:hAnsi="Arial" w:cs="Arial"/>
          <w:sz w:val="24"/>
          <w:szCs w:val="24"/>
        </w:rPr>
        <w:t>o</w:t>
      </w:r>
      <w:r w:rsidR="00D30FF7" w:rsidRPr="006D0B9A">
        <w:rPr>
          <w:rFonts w:ascii="Arial" w:hAnsi="Arial" w:cs="Arial"/>
          <w:sz w:val="24"/>
          <w:szCs w:val="24"/>
        </w:rPr>
        <w:t xml:space="preserve">bjeto </w:t>
      </w:r>
      <w:r w:rsidR="00D30FF7">
        <w:rPr>
          <w:rFonts w:ascii="Arial" w:hAnsi="Arial" w:cs="Arial"/>
          <w:sz w:val="24"/>
          <w:szCs w:val="24"/>
        </w:rPr>
        <w:t>d</w:t>
      </w:r>
      <w:r w:rsidR="00D30FF7" w:rsidRPr="006D0B9A">
        <w:rPr>
          <w:rFonts w:ascii="Arial" w:hAnsi="Arial" w:cs="Arial"/>
          <w:sz w:val="24"/>
          <w:szCs w:val="24"/>
        </w:rPr>
        <w:t xml:space="preserve">ar </w:t>
      </w:r>
      <w:r w:rsidR="00D30FF7">
        <w:rPr>
          <w:rFonts w:ascii="Arial" w:hAnsi="Arial" w:cs="Arial"/>
          <w:sz w:val="24"/>
          <w:szCs w:val="24"/>
        </w:rPr>
        <w:t>a</w:t>
      </w:r>
      <w:r w:rsidR="00D30FF7" w:rsidRPr="006D0B9A">
        <w:rPr>
          <w:rFonts w:ascii="Arial" w:hAnsi="Arial" w:cs="Arial"/>
          <w:sz w:val="24"/>
          <w:szCs w:val="24"/>
        </w:rPr>
        <w:t xml:space="preserve"> </w:t>
      </w:r>
      <w:r w:rsidR="00D30FF7">
        <w:rPr>
          <w:rFonts w:ascii="Arial" w:hAnsi="Arial" w:cs="Arial"/>
          <w:sz w:val="24"/>
          <w:szCs w:val="24"/>
        </w:rPr>
        <w:t>c</w:t>
      </w:r>
      <w:r w:rsidR="00D30FF7" w:rsidRPr="006D0B9A">
        <w:rPr>
          <w:rFonts w:ascii="Arial" w:hAnsi="Arial" w:cs="Arial"/>
          <w:sz w:val="24"/>
          <w:szCs w:val="24"/>
        </w:rPr>
        <w:t xml:space="preserve">onocer </w:t>
      </w:r>
      <w:r w:rsidR="00D30FF7">
        <w:rPr>
          <w:rFonts w:ascii="Arial" w:hAnsi="Arial" w:cs="Arial"/>
          <w:sz w:val="24"/>
          <w:szCs w:val="24"/>
        </w:rPr>
        <w:t>l</w:t>
      </w:r>
      <w:r w:rsidR="00D30FF7" w:rsidRPr="006D0B9A">
        <w:rPr>
          <w:rFonts w:ascii="Arial" w:hAnsi="Arial" w:cs="Arial"/>
          <w:sz w:val="24"/>
          <w:szCs w:val="24"/>
        </w:rPr>
        <w:t xml:space="preserve">as Variables </w:t>
      </w:r>
      <w:r w:rsidR="00D30FF7">
        <w:rPr>
          <w:rFonts w:ascii="Arial" w:hAnsi="Arial" w:cs="Arial"/>
          <w:sz w:val="24"/>
          <w:szCs w:val="24"/>
        </w:rPr>
        <w:t>y</w:t>
      </w:r>
      <w:r w:rsidR="00D30FF7" w:rsidRPr="006D0B9A">
        <w:rPr>
          <w:rFonts w:ascii="Arial" w:hAnsi="Arial" w:cs="Arial"/>
          <w:sz w:val="24"/>
          <w:szCs w:val="24"/>
        </w:rPr>
        <w:t xml:space="preserve"> </w:t>
      </w:r>
      <w:r w:rsidR="00D30FF7">
        <w:rPr>
          <w:rFonts w:ascii="Arial" w:hAnsi="Arial" w:cs="Arial"/>
          <w:sz w:val="24"/>
          <w:szCs w:val="24"/>
        </w:rPr>
        <w:t>f</w:t>
      </w:r>
      <w:r w:rsidR="00D30FF7" w:rsidRPr="006D0B9A">
        <w:rPr>
          <w:rFonts w:ascii="Arial" w:hAnsi="Arial" w:cs="Arial"/>
          <w:sz w:val="24"/>
          <w:szCs w:val="24"/>
        </w:rPr>
        <w:t xml:space="preserve">uentes </w:t>
      </w:r>
      <w:r w:rsidR="00D30FF7">
        <w:rPr>
          <w:rFonts w:ascii="Arial" w:hAnsi="Arial" w:cs="Arial"/>
          <w:sz w:val="24"/>
          <w:szCs w:val="24"/>
        </w:rPr>
        <w:t>d</w:t>
      </w:r>
      <w:r w:rsidR="00D30FF7" w:rsidRPr="006D0B9A">
        <w:rPr>
          <w:rFonts w:ascii="Arial" w:hAnsi="Arial" w:cs="Arial"/>
          <w:sz w:val="24"/>
          <w:szCs w:val="24"/>
        </w:rPr>
        <w:t>e</w:t>
      </w:r>
      <w:r w:rsidR="00D30FF7">
        <w:rPr>
          <w:rFonts w:ascii="Arial" w:hAnsi="Arial" w:cs="Arial"/>
          <w:sz w:val="24"/>
          <w:szCs w:val="24"/>
        </w:rPr>
        <w:t xml:space="preserve"> </w:t>
      </w:r>
      <w:r w:rsidR="00D30FF7" w:rsidRPr="006D0B9A">
        <w:rPr>
          <w:rFonts w:ascii="Arial" w:hAnsi="Arial" w:cs="Arial"/>
          <w:sz w:val="24"/>
          <w:szCs w:val="24"/>
        </w:rPr>
        <w:t xml:space="preserve">Información </w:t>
      </w:r>
      <w:r w:rsidR="00D30FF7">
        <w:rPr>
          <w:rFonts w:ascii="Arial" w:hAnsi="Arial" w:cs="Arial"/>
          <w:sz w:val="24"/>
          <w:szCs w:val="24"/>
        </w:rPr>
        <w:t>p</w:t>
      </w:r>
      <w:r w:rsidR="00D30FF7" w:rsidRPr="006D0B9A">
        <w:rPr>
          <w:rFonts w:ascii="Arial" w:hAnsi="Arial" w:cs="Arial"/>
          <w:sz w:val="24"/>
          <w:szCs w:val="24"/>
        </w:rPr>
        <w:t xml:space="preserve">ara </w:t>
      </w:r>
      <w:r w:rsidR="00D30FF7">
        <w:rPr>
          <w:rFonts w:ascii="Arial" w:hAnsi="Arial" w:cs="Arial"/>
          <w:sz w:val="24"/>
          <w:szCs w:val="24"/>
        </w:rPr>
        <w:t>a</w:t>
      </w:r>
      <w:r w:rsidR="00D30FF7" w:rsidRPr="006D0B9A">
        <w:rPr>
          <w:rFonts w:ascii="Arial" w:hAnsi="Arial" w:cs="Arial"/>
          <w:sz w:val="24"/>
          <w:szCs w:val="24"/>
        </w:rPr>
        <w:t xml:space="preserve">poyar </w:t>
      </w:r>
      <w:r w:rsidR="00D30FF7">
        <w:rPr>
          <w:rFonts w:ascii="Arial" w:hAnsi="Arial" w:cs="Arial"/>
          <w:sz w:val="24"/>
          <w:szCs w:val="24"/>
        </w:rPr>
        <w:t>a</w:t>
      </w:r>
      <w:r w:rsidR="00D30FF7" w:rsidRPr="006D0B9A">
        <w:rPr>
          <w:rFonts w:ascii="Arial" w:hAnsi="Arial" w:cs="Arial"/>
          <w:sz w:val="24"/>
          <w:szCs w:val="24"/>
        </w:rPr>
        <w:t xml:space="preserve"> </w:t>
      </w:r>
      <w:r w:rsidR="00D30FF7">
        <w:rPr>
          <w:rFonts w:ascii="Arial" w:hAnsi="Arial" w:cs="Arial"/>
          <w:sz w:val="24"/>
          <w:szCs w:val="24"/>
        </w:rPr>
        <w:t>l</w:t>
      </w:r>
      <w:r w:rsidR="00D30FF7" w:rsidRPr="006D0B9A">
        <w:rPr>
          <w:rFonts w:ascii="Arial" w:hAnsi="Arial" w:cs="Arial"/>
          <w:sz w:val="24"/>
          <w:szCs w:val="24"/>
        </w:rPr>
        <w:t xml:space="preserve">as Entidades Federativas </w:t>
      </w:r>
      <w:r w:rsidR="00D30FF7">
        <w:rPr>
          <w:rFonts w:ascii="Arial" w:hAnsi="Arial" w:cs="Arial"/>
          <w:sz w:val="24"/>
          <w:szCs w:val="24"/>
        </w:rPr>
        <w:t>e</w:t>
      </w:r>
      <w:r w:rsidR="00D30FF7" w:rsidRPr="006D0B9A">
        <w:rPr>
          <w:rFonts w:ascii="Arial" w:hAnsi="Arial" w:cs="Arial"/>
          <w:sz w:val="24"/>
          <w:szCs w:val="24"/>
        </w:rPr>
        <w:t xml:space="preserve">n </w:t>
      </w:r>
      <w:r w:rsidR="00D30FF7">
        <w:rPr>
          <w:rFonts w:ascii="Arial" w:hAnsi="Arial" w:cs="Arial"/>
          <w:sz w:val="24"/>
          <w:szCs w:val="24"/>
        </w:rPr>
        <w:t>l</w:t>
      </w:r>
      <w:r w:rsidR="00D30FF7" w:rsidRPr="006D0B9A">
        <w:rPr>
          <w:rFonts w:ascii="Arial" w:hAnsi="Arial" w:cs="Arial"/>
          <w:sz w:val="24"/>
          <w:szCs w:val="24"/>
        </w:rPr>
        <w:t xml:space="preserve">a </w:t>
      </w:r>
      <w:r w:rsidR="00D30FF7">
        <w:rPr>
          <w:rFonts w:ascii="Arial" w:hAnsi="Arial" w:cs="Arial"/>
          <w:sz w:val="24"/>
          <w:szCs w:val="24"/>
        </w:rPr>
        <w:t>a</w:t>
      </w:r>
      <w:r w:rsidR="00D30FF7" w:rsidRPr="006D0B9A">
        <w:rPr>
          <w:rFonts w:ascii="Arial" w:hAnsi="Arial" w:cs="Arial"/>
          <w:sz w:val="24"/>
          <w:szCs w:val="24"/>
        </w:rPr>
        <w:t xml:space="preserve">plicación </w:t>
      </w:r>
      <w:r w:rsidR="00D30FF7">
        <w:rPr>
          <w:rFonts w:ascii="Arial" w:hAnsi="Arial" w:cs="Arial"/>
          <w:sz w:val="24"/>
          <w:szCs w:val="24"/>
        </w:rPr>
        <w:t>d</w:t>
      </w:r>
      <w:r w:rsidR="00D30FF7" w:rsidRPr="006D0B9A">
        <w:rPr>
          <w:rFonts w:ascii="Arial" w:hAnsi="Arial" w:cs="Arial"/>
          <w:sz w:val="24"/>
          <w:szCs w:val="24"/>
        </w:rPr>
        <w:t xml:space="preserve">e </w:t>
      </w:r>
      <w:r w:rsidR="00D30FF7">
        <w:rPr>
          <w:rFonts w:ascii="Arial" w:hAnsi="Arial" w:cs="Arial"/>
          <w:sz w:val="24"/>
          <w:szCs w:val="24"/>
        </w:rPr>
        <w:t>l</w:t>
      </w:r>
      <w:r w:rsidR="00D30FF7" w:rsidRPr="006D0B9A">
        <w:rPr>
          <w:rFonts w:ascii="Arial" w:hAnsi="Arial" w:cs="Arial"/>
          <w:sz w:val="24"/>
          <w:szCs w:val="24"/>
        </w:rPr>
        <w:t>a</w:t>
      </w:r>
      <w:r w:rsidR="00D30FF7">
        <w:rPr>
          <w:rFonts w:ascii="Arial" w:hAnsi="Arial" w:cs="Arial"/>
          <w:sz w:val="24"/>
          <w:szCs w:val="24"/>
        </w:rPr>
        <w:t xml:space="preserve"> </w:t>
      </w:r>
      <w:r w:rsidR="00D30FF7" w:rsidRPr="006D0B9A">
        <w:rPr>
          <w:rFonts w:ascii="Arial" w:hAnsi="Arial" w:cs="Arial"/>
          <w:sz w:val="24"/>
          <w:szCs w:val="24"/>
        </w:rPr>
        <w:t xml:space="preserve">Fórmula </w:t>
      </w:r>
      <w:r w:rsidR="00D30FF7">
        <w:rPr>
          <w:rFonts w:ascii="Arial" w:hAnsi="Arial" w:cs="Arial"/>
          <w:sz w:val="24"/>
          <w:szCs w:val="24"/>
        </w:rPr>
        <w:t>d</w:t>
      </w:r>
      <w:r w:rsidR="00D30FF7" w:rsidRPr="006D0B9A">
        <w:rPr>
          <w:rFonts w:ascii="Arial" w:hAnsi="Arial" w:cs="Arial"/>
          <w:sz w:val="24"/>
          <w:szCs w:val="24"/>
        </w:rPr>
        <w:t xml:space="preserve">e Distribución </w:t>
      </w:r>
      <w:r w:rsidR="00D30FF7">
        <w:rPr>
          <w:rFonts w:ascii="Arial" w:hAnsi="Arial" w:cs="Arial"/>
          <w:sz w:val="24"/>
          <w:szCs w:val="24"/>
        </w:rPr>
        <w:t>d</w:t>
      </w:r>
      <w:r w:rsidR="00D30FF7" w:rsidRPr="006D0B9A">
        <w:rPr>
          <w:rFonts w:ascii="Arial" w:hAnsi="Arial" w:cs="Arial"/>
          <w:sz w:val="24"/>
          <w:szCs w:val="24"/>
        </w:rPr>
        <w:t xml:space="preserve">el </w:t>
      </w:r>
      <w:r w:rsidR="0005309B">
        <w:rPr>
          <w:rFonts w:ascii="Arial" w:hAnsi="Arial" w:cs="Arial"/>
          <w:sz w:val="24"/>
          <w:szCs w:val="24"/>
        </w:rPr>
        <w:t>FISM-DF</w:t>
      </w:r>
      <w:r w:rsidR="00F71CCD">
        <w:rPr>
          <w:rFonts w:ascii="Arial" w:hAnsi="Arial" w:cs="Arial"/>
          <w:sz w:val="24"/>
          <w:szCs w:val="24"/>
        </w:rPr>
        <w:t>.</w:t>
      </w:r>
    </w:p>
    <w:p w:rsidR="00C01406" w:rsidRDefault="00FC3EFD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EFD">
        <w:rPr>
          <w:rFonts w:ascii="Arial" w:hAnsi="Arial" w:cs="Arial"/>
          <w:b/>
          <w:sz w:val="24"/>
          <w:szCs w:val="24"/>
        </w:rPr>
        <w:t xml:space="preserve">Distribución de los recursos del </w:t>
      </w:r>
      <w:r w:rsidR="009E17E4" w:rsidRPr="009E17E4">
        <w:rPr>
          <w:rFonts w:ascii="Arial" w:hAnsi="Arial" w:cs="Arial"/>
          <w:b/>
          <w:sz w:val="24"/>
          <w:szCs w:val="24"/>
        </w:rPr>
        <w:t>FISM-DF</w:t>
      </w:r>
      <w:r w:rsidRPr="00FC3EFD">
        <w:rPr>
          <w:rFonts w:ascii="Arial" w:hAnsi="Arial" w:cs="Arial"/>
          <w:b/>
          <w:sz w:val="24"/>
          <w:szCs w:val="24"/>
        </w:rPr>
        <w:t xml:space="preserve"> entre los municipios y su transferencia</w:t>
      </w:r>
    </w:p>
    <w:p w:rsidR="00B70289" w:rsidRDefault="00B70289" w:rsidP="00B70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SHCP, publica en el DOF, el Acuerdo Federal que cuenta con los montos asignados al Estado por concepto del </w:t>
      </w:r>
      <w:r w:rsidRPr="00B70289">
        <w:rPr>
          <w:rFonts w:ascii="Arial" w:hAnsi="Arial" w:cs="Arial"/>
          <w:sz w:val="24"/>
          <w:szCs w:val="24"/>
        </w:rPr>
        <w:t>FISM</w:t>
      </w:r>
      <w:r>
        <w:rPr>
          <w:rFonts w:ascii="Arial" w:hAnsi="Arial" w:cs="Arial"/>
          <w:sz w:val="24"/>
          <w:szCs w:val="24"/>
        </w:rPr>
        <w:t>-</w:t>
      </w:r>
      <w:r w:rsidRPr="00B70289">
        <w:rPr>
          <w:rFonts w:ascii="Arial" w:hAnsi="Arial" w:cs="Arial"/>
          <w:sz w:val="24"/>
          <w:szCs w:val="24"/>
        </w:rPr>
        <w:t xml:space="preserve">DF </w:t>
      </w:r>
      <w:r>
        <w:rPr>
          <w:rFonts w:ascii="Arial" w:hAnsi="Arial" w:cs="Arial"/>
          <w:sz w:val="24"/>
          <w:szCs w:val="24"/>
        </w:rPr>
        <w:t>en los términos y plazos previstos en la LCF.</w:t>
      </w:r>
    </w:p>
    <w:p w:rsidR="00B70289" w:rsidRDefault="00B70289" w:rsidP="00B70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Estado a través de l</w:t>
      </w:r>
      <w:r w:rsidRPr="00FC3EF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SEDESOL, publica en el periódico oficial, el Acuerdo Estatal que contiene los </w:t>
      </w:r>
      <w:r w:rsidR="00212258">
        <w:rPr>
          <w:rFonts w:ascii="Arial" w:hAnsi="Arial" w:cs="Arial"/>
          <w:sz w:val="24"/>
          <w:szCs w:val="24"/>
        </w:rPr>
        <w:t>montos que correspondan a cada m</w:t>
      </w:r>
      <w:r>
        <w:rPr>
          <w:rFonts w:ascii="Arial" w:hAnsi="Arial" w:cs="Arial"/>
          <w:sz w:val="24"/>
          <w:szCs w:val="24"/>
        </w:rPr>
        <w:t>unicipio por concepto del FISM-DF, así como el calendario de ministración de recursos en la fecha que señala la normatividad, siendo los recursos distribuidos en los términos previstos en la LCF.</w:t>
      </w:r>
    </w:p>
    <w:p w:rsidR="00B70289" w:rsidRDefault="00B70289" w:rsidP="00B702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SEFIN, tiene entre otras atribuciones, la de r</w:t>
      </w:r>
      <w:r w:rsidRPr="00A51A6B">
        <w:rPr>
          <w:rFonts w:ascii="Arial" w:hAnsi="Arial" w:cs="Arial"/>
          <w:sz w:val="24"/>
          <w:szCs w:val="24"/>
        </w:rPr>
        <w:t>ecaudar, registrar y administrar los recursos que correspondan al Estado por concepto de impuestos, derechos, productos, aprovechamientos, contribuciones de mejoras, e indemnizaciones; así como a los provenientes de participaciones y aportaciones federales, o transferencias y reasignación de recursos; y en general, los demás ingresos que tenga derecho a percibir el mismo, en los términos de las leyes aplicables y los convenios celebrados</w:t>
      </w:r>
      <w:r>
        <w:rPr>
          <w:rFonts w:ascii="Arial" w:hAnsi="Arial" w:cs="Arial"/>
          <w:sz w:val="24"/>
          <w:szCs w:val="24"/>
        </w:rPr>
        <w:t xml:space="preserve">; así como </w:t>
      </w:r>
      <w:r w:rsidRPr="00A51A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de e</w:t>
      </w:r>
      <w:r w:rsidRPr="00A51A6B">
        <w:rPr>
          <w:rFonts w:ascii="Arial" w:hAnsi="Arial" w:cs="Arial"/>
          <w:sz w:val="24"/>
          <w:szCs w:val="24"/>
        </w:rPr>
        <w:t>fectuar los pagos conforme a los programas y presupuestos aprobados</w:t>
      </w:r>
      <w:r>
        <w:rPr>
          <w:rFonts w:ascii="Arial" w:hAnsi="Arial" w:cs="Arial"/>
          <w:sz w:val="24"/>
          <w:szCs w:val="24"/>
        </w:rPr>
        <w:t>.</w:t>
      </w:r>
    </w:p>
    <w:p w:rsidR="00A51A6B" w:rsidRPr="00F730FB" w:rsidRDefault="00A51A6B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0FB">
        <w:rPr>
          <w:rFonts w:ascii="Arial" w:hAnsi="Arial" w:cs="Arial"/>
          <w:b/>
          <w:sz w:val="24"/>
          <w:szCs w:val="24"/>
        </w:rPr>
        <w:t>Por lo anterior, los procesos que se realizan en la S</w:t>
      </w:r>
      <w:r w:rsidR="002E71A2">
        <w:rPr>
          <w:rFonts w:ascii="Arial" w:hAnsi="Arial" w:cs="Arial"/>
          <w:b/>
          <w:sz w:val="24"/>
          <w:szCs w:val="24"/>
        </w:rPr>
        <w:t>EFIN</w:t>
      </w:r>
      <w:r w:rsidRPr="00F730FB">
        <w:rPr>
          <w:rFonts w:ascii="Arial" w:hAnsi="Arial" w:cs="Arial"/>
          <w:b/>
          <w:sz w:val="24"/>
          <w:szCs w:val="24"/>
        </w:rPr>
        <w:t xml:space="preserve"> relacionados con el F</w:t>
      </w:r>
      <w:r w:rsidR="000662E6" w:rsidRPr="00F730FB">
        <w:rPr>
          <w:rFonts w:ascii="Arial" w:hAnsi="Arial" w:cs="Arial"/>
          <w:b/>
          <w:sz w:val="24"/>
          <w:szCs w:val="24"/>
        </w:rPr>
        <w:t>ISM</w:t>
      </w:r>
      <w:r w:rsidR="00B70289">
        <w:rPr>
          <w:rFonts w:ascii="Arial" w:hAnsi="Arial" w:cs="Arial"/>
          <w:b/>
          <w:sz w:val="24"/>
          <w:szCs w:val="24"/>
        </w:rPr>
        <w:t>-</w:t>
      </w:r>
      <w:r w:rsidR="000662E6" w:rsidRPr="00F730FB">
        <w:rPr>
          <w:rFonts w:ascii="Arial" w:hAnsi="Arial" w:cs="Arial"/>
          <w:b/>
          <w:sz w:val="24"/>
          <w:szCs w:val="24"/>
        </w:rPr>
        <w:t>DF</w:t>
      </w:r>
      <w:r w:rsidR="000B31E5" w:rsidRPr="00F730FB">
        <w:rPr>
          <w:rFonts w:ascii="Arial" w:hAnsi="Arial" w:cs="Arial"/>
          <w:b/>
          <w:sz w:val="24"/>
          <w:szCs w:val="24"/>
        </w:rPr>
        <w:t xml:space="preserve"> </w:t>
      </w:r>
      <w:r w:rsidRPr="00F730FB">
        <w:rPr>
          <w:rFonts w:ascii="Arial" w:hAnsi="Arial" w:cs="Arial"/>
          <w:b/>
          <w:sz w:val="24"/>
          <w:szCs w:val="24"/>
        </w:rPr>
        <w:t>son los siguientes:</w:t>
      </w:r>
    </w:p>
    <w:p w:rsidR="00AC6F6C" w:rsidRDefault="00AC6F6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156">
        <w:rPr>
          <w:rFonts w:ascii="Arial" w:hAnsi="Arial" w:cs="Arial"/>
          <w:sz w:val="24"/>
          <w:szCs w:val="24"/>
        </w:rPr>
        <w:t xml:space="preserve">La </w:t>
      </w:r>
      <w:r w:rsidR="002E71A2">
        <w:rPr>
          <w:rFonts w:ascii="Arial" w:hAnsi="Arial" w:cs="Arial"/>
          <w:sz w:val="24"/>
          <w:szCs w:val="24"/>
        </w:rPr>
        <w:t>SHCP</w:t>
      </w:r>
      <w:r w:rsidR="000B31E5">
        <w:rPr>
          <w:rFonts w:ascii="Arial" w:hAnsi="Arial" w:cs="Arial"/>
          <w:sz w:val="24"/>
          <w:szCs w:val="24"/>
        </w:rPr>
        <w:t xml:space="preserve"> </w:t>
      </w:r>
      <w:r w:rsidRPr="00BF0156">
        <w:rPr>
          <w:rFonts w:ascii="Arial" w:hAnsi="Arial" w:cs="Arial"/>
          <w:sz w:val="24"/>
          <w:szCs w:val="24"/>
        </w:rPr>
        <w:t>solicita</w:t>
      </w:r>
      <w:r w:rsidR="00BF0156" w:rsidRPr="00BF0156">
        <w:rPr>
          <w:rFonts w:ascii="Arial" w:hAnsi="Arial" w:cs="Arial"/>
          <w:sz w:val="24"/>
          <w:szCs w:val="24"/>
        </w:rPr>
        <w:t xml:space="preserve"> a la </w:t>
      </w:r>
      <w:r w:rsidR="002E71A2">
        <w:rPr>
          <w:rFonts w:ascii="Arial" w:hAnsi="Arial" w:cs="Arial"/>
          <w:sz w:val="24"/>
          <w:szCs w:val="24"/>
        </w:rPr>
        <w:t>SEFIN</w:t>
      </w:r>
      <w:r w:rsidR="00BF0156" w:rsidRPr="00BF0156">
        <w:rPr>
          <w:rFonts w:ascii="Arial" w:hAnsi="Arial" w:cs="Arial"/>
          <w:sz w:val="24"/>
          <w:szCs w:val="24"/>
        </w:rPr>
        <w:t xml:space="preserve"> </w:t>
      </w:r>
      <w:r w:rsidR="002E71A2">
        <w:rPr>
          <w:rFonts w:ascii="Arial" w:hAnsi="Arial" w:cs="Arial"/>
          <w:sz w:val="24"/>
          <w:szCs w:val="24"/>
        </w:rPr>
        <w:t>abra</w:t>
      </w:r>
      <w:r w:rsidRPr="00BF0156">
        <w:rPr>
          <w:rFonts w:ascii="Arial" w:hAnsi="Arial" w:cs="Arial"/>
          <w:sz w:val="24"/>
          <w:szCs w:val="24"/>
        </w:rPr>
        <w:t xml:space="preserve"> la cuenta específica en donde se depositaran los recursos del Fondo.</w:t>
      </w:r>
    </w:p>
    <w:p w:rsidR="00BF0156" w:rsidRP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156">
        <w:rPr>
          <w:rFonts w:ascii="Arial" w:hAnsi="Arial" w:cs="Arial"/>
          <w:sz w:val="24"/>
          <w:szCs w:val="24"/>
        </w:rPr>
        <w:t>L</w:t>
      </w:r>
      <w:r w:rsidR="00AC6F6C" w:rsidRPr="00BF0156">
        <w:rPr>
          <w:rFonts w:ascii="Arial" w:hAnsi="Arial" w:cs="Arial"/>
          <w:sz w:val="24"/>
          <w:szCs w:val="24"/>
        </w:rPr>
        <w:t>a</w:t>
      </w:r>
      <w:r w:rsidRPr="00BF0156">
        <w:rPr>
          <w:rFonts w:ascii="Arial" w:hAnsi="Arial" w:cs="Arial"/>
          <w:sz w:val="24"/>
          <w:szCs w:val="24"/>
        </w:rPr>
        <w:t xml:space="preserve"> Dirección de Tesorería, </w:t>
      </w:r>
      <w:r w:rsidR="002E71A2">
        <w:rPr>
          <w:rFonts w:ascii="Arial" w:hAnsi="Arial" w:cs="Arial"/>
          <w:sz w:val="24"/>
          <w:szCs w:val="24"/>
        </w:rPr>
        <w:t>abre</w:t>
      </w:r>
      <w:r w:rsidR="00AC6F6C" w:rsidRPr="00BF0156">
        <w:rPr>
          <w:rFonts w:ascii="Arial" w:hAnsi="Arial" w:cs="Arial"/>
          <w:sz w:val="24"/>
          <w:szCs w:val="24"/>
        </w:rPr>
        <w:t xml:space="preserve"> la cuenta bancaria específica y notifica el número e Institución Bancaria a la SHCP.</w:t>
      </w:r>
    </w:p>
    <w:p w:rsidR="00BF0156" w:rsidRPr="008516EC" w:rsidRDefault="00BF0156" w:rsidP="003E4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6EC">
        <w:rPr>
          <w:rFonts w:ascii="Arial" w:hAnsi="Arial" w:cs="Arial"/>
          <w:sz w:val="24"/>
          <w:szCs w:val="24"/>
        </w:rPr>
        <w:t>Dirección de Presupuesto:</w:t>
      </w:r>
    </w:p>
    <w:p w:rsidR="009E17E4" w:rsidRDefault="009E17E4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a los 58 m</w:t>
      </w:r>
      <w:r w:rsidRPr="00BF0156">
        <w:rPr>
          <w:rFonts w:ascii="Arial" w:hAnsi="Arial" w:cs="Arial"/>
          <w:sz w:val="24"/>
          <w:szCs w:val="24"/>
        </w:rPr>
        <w:t>unicipios del Estado,</w:t>
      </w:r>
      <w:r>
        <w:rPr>
          <w:rFonts w:ascii="Arial" w:hAnsi="Arial" w:cs="Arial"/>
          <w:sz w:val="24"/>
          <w:szCs w:val="24"/>
        </w:rPr>
        <w:t xml:space="preserve"> la  apertura de la cuenta bancaria específica y le informen la</w:t>
      </w:r>
      <w:r w:rsidRPr="00BF0156">
        <w:rPr>
          <w:rFonts w:ascii="Arial" w:hAnsi="Arial" w:cs="Arial"/>
          <w:sz w:val="24"/>
          <w:szCs w:val="24"/>
        </w:rPr>
        <w:t xml:space="preserve"> Institución Bancaria</w:t>
      </w:r>
      <w:r>
        <w:rPr>
          <w:rFonts w:ascii="Arial" w:hAnsi="Arial" w:cs="Arial"/>
          <w:sz w:val="24"/>
          <w:szCs w:val="24"/>
        </w:rPr>
        <w:t xml:space="preserve">, </w:t>
      </w:r>
      <w:r w:rsidRPr="00BF0156">
        <w:rPr>
          <w:rFonts w:ascii="Arial" w:hAnsi="Arial" w:cs="Arial"/>
          <w:sz w:val="24"/>
          <w:szCs w:val="24"/>
        </w:rPr>
        <w:t>el número de cuenta</w:t>
      </w:r>
      <w:r>
        <w:rPr>
          <w:rFonts w:ascii="Arial" w:hAnsi="Arial" w:cs="Arial"/>
          <w:sz w:val="24"/>
          <w:szCs w:val="24"/>
        </w:rPr>
        <w:t xml:space="preserve">, la CLABE, sucursal y plaza </w:t>
      </w:r>
      <w:r w:rsidRPr="00BF0156">
        <w:rPr>
          <w:rFonts w:ascii="Arial" w:hAnsi="Arial" w:cs="Arial"/>
          <w:sz w:val="24"/>
          <w:szCs w:val="24"/>
        </w:rPr>
        <w:t xml:space="preserve">en la cual se van a transferir los recursos del </w:t>
      </w:r>
      <w:r>
        <w:rPr>
          <w:rFonts w:ascii="Arial" w:hAnsi="Arial" w:cs="Arial"/>
          <w:sz w:val="24"/>
          <w:szCs w:val="24"/>
        </w:rPr>
        <w:t>FISM-DF.</w:t>
      </w:r>
    </w:p>
    <w:p w:rsid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la suficiencia presupuestal en el </w:t>
      </w:r>
      <w:r w:rsidR="005221C5">
        <w:rPr>
          <w:rFonts w:ascii="Arial" w:hAnsi="Arial" w:cs="Arial"/>
          <w:sz w:val="24"/>
          <w:szCs w:val="24"/>
        </w:rPr>
        <w:t>SIIF</w:t>
      </w:r>
      <w:r>
        <w:rPr>
          <w:rFonts w:ascii="Arial" w:hAnsi="Arial" w:cs="Arial"/>
          <w:sz w:val="24"/>
          <w:szCs w:val="24"/>
        </w:rPr>
        <w:t xml:space="preserve">, una vez publicado el Acuerdo </w:t>
      </w:r>
      <w:r w:rsidR="0048248C">
        <w:rPr>
          <w:rFonts w:ascii="Arial" w:hAnsi="Arial" w:cs="Arial"/>
          <w:sz w:val="24"/>
          <w:szCs w:val="24"/>
        </w:rPr>
        <w:t xml:space="preserve">Estatal </w:t>
      </w:r>
      <w:r>
        <w:rPr>
          <w:rFonts w:ascii="Arial" w:hAnsi="Arial" w:cs="Arial"/>
          <w:sz w:val="24"/>
          <w:szCs w:val="24"/>
        </w:rPr>
        <w:t>mediante el cual se da a conocer la Distribución y el Calendario de Ministración de Recursos del F</w:t>
      </w:r>
      <w:r w:rsidR="009E17E4">
        <w:rPr>
          <w:rFonts w:ascii="Arial" w:hAnsi="Arial" w:cs="Arial"/>
          <w:sz w:val="24"/>
          <w:szCs w:val="24"/>
        </w:rPr>
        <w:t>ISM-DF</w:t>
      </w:r>
      <w:r>
        <w:rPr>
          <w:rFonts w:ascii="Arial" w:hAnsi="Arial" w:cs="Arial"/>
          <w:sz w:val="24"/>
          <w:szCs w:val="24"/>
        </w:rPr>
        <w:t>.</w:t>
      </w:r>
    </w:p>
    <w:p w:rsid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el trámite de liberación de recursos en el </w:t>
      </w:r>
      <w:r w:rsidR="005221C5">
        <w:rPr>
          <w:rFonts w:ascii="Arial" w:hAnsi="Arial" w:cs="Arial"/>
          <w:sz w:val="24"/>
          <w:szCs w:val="24"/>
        </w:rPr>
        <w:t>SIIF</w:t>
      </w:r>
      <w:r>
        <w:rPr>
          <w:rFonts w:ascii="Arial" w:hAnsi="Arial" w:cs="Arial"/>
          <w:sz w:val="24"/>
          <w:szCs w:val="24"/>
        </w:rPr>
        <w:t xml:space="preserve"> para realizar la afectación y registro presupuestario.</w:t>
      </w:r>
    </w:p>
    <w:p w:rsidR="00BF0156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imprime y antefirma el formato de liberación de recursos y el formato de póliza contable del devengado.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revisa y verifica que el trámite contenga la documentación correcta y cumpla con los requisitos de acuerdo a la normatividad aplicable.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</w:t>
      </w:r>
      <w:r w:rsidR="000B31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 el trámite a la Dirección para su autorización</w:t>
      </w:r>
      <w:r w:rsidR="005A1011">
        <w:rPr>
          <w:rFonts w:ascii="Arial" w:hAnsi="Arial" w:cs="Arial"/>
          <w:sz w:val="24"/>
          <w:szCs w:val="24"/>
        </w:rPr>
        <w:t>.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el trámite autorizado,</w:t>
      </w:r>
      <w:r w:rsidR="000B3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envía a la Dirección de Egresos para su programación de pago.</w:t>
      </w:r>
    </w:p>
    <w:p w:rsidR="009E17E4" w:rsidRPr="004C09F1" w:rsidRDefault="009E17E4" w:rsidP="00B87A0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32322272"/>
      <w:r w:rsidRPr="004C09F1">
        <w:rPr>
          <w:rFonts w:ascii="Arial" w:hAnsi="Arial" w:cs="Arial"/>
          <w:sz w:val="24"/>
          <w:szCs w:val="24"/>
        </w:rPr>
        <w:t xml:space="preserve">Recibe la documentación </w:t>
      </w:r>
      <w:r w:rsidR="0047252D" w:rsidRPr="004C09F1">
        <w:rPr>
          <w:rFonts w:ascii="Arial" w:hAnsi="Arial" w:cs="Arial"/>
          <w:sz w:val="24"/>
          <w:szCs w:val="24"/>
        </w:rPr>
        <w:t>(CFDI)</w:t>
      </w:r>
      <w:r w:rsidR="0047252D">
        <w:rPr>
          <w:rFonts w:ascii="Arial" w:hAnsi="Arial" w:cs="Arial"/>
          <w:sz w:val="24"/>
          <w:szCs w:val="24"/>
        </w:rPr>
        <w:t xml:space="preserve"> </w:t>
      </w:r>
      <w:r w:rsidRPr="004C09F1">
        <w:rPr>
          <w:rFonts w:ascii="Arial" w:hAnsi="Arial" w:cs="Arial"/>
          <w:sz w:val="24"/>
          <w:szCs w:val="24"/>
        </w:rPr>
        <w:t xml:space="preserve">de los municipios </w:t>
      </w:r>
      <w:r w:rsidR="004C09F1" w:rsidRPr="004C09F1">
        <w:rPr>
          <w:rFonts w:ascii="Arial" w:hAnsi="Arial" w:cs="Arial"/>
          <w:sz w:val="24"/>
          <w:szCs w:val="24"/>
        </w:rPr>
        <w:t>en un periodo no máximo de 5 (cinco) días naturales posteriores a la fecha de recepción del recurso</w:t>
      </w:r>
      <w:r w:rsidR="004C09F1">
        <w:rPr>
          <w:rFonts w:ascii="Arial" w:hAnsi="Arial" w:cs="Arial"/>
          <w:sz w:val="24"/>
          <w:szCs w:val="24"/>
        </w:rPr>
        <w:t xml:space="preserve">, </w:t>
      </w:r>
      <w:r w:rsidRPr="004C09F1">
        <w:rPr>
          <w:rFonts w:ascii="Arial" w:hAnsi="Arial" w:cs="Arial"/>
          <w:sz w:val="24"/>
          <w:szCs w:val="24"/>
        </w:rPr>
        <w:t>de acuerdo a la normatividad aplicable.</w:t>
      </w:r>
      <w:bookmarkEnd w:id="1"/>
    </w:p>
    <w:p w:rsidR="009E17E4" w:rsidRDefault="009E17E4" w:rsidP="009E17E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pasan los comprobantes de los municipios (CFDI), a la Dirección de Contabilidad para que se integren a las pólizas EG.</w:t>
      </w:r>
    </w:p>
    <w:p w:rsidR="005D797D" w:rsidRDefault="005D797D" w:rsidP="003E4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797D" w:rsidRDefault="005D797D" w:rsidP="003E4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6EC" w:rsidRPr="008516EC" w:rsidRDefault="008516EC" w:rsidP="003E4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6EC">
        <w:rPr>
          <w:rFonts w:ascii="Arial" w:hAnsi="Arial" w:cs="Arial"/>
          <w:sz w:val="24"/>
          <w:szCs w:val="24"/>
        </w:rPr>
        <w:t xml:space="preserve">Dirección de </w:t>
      </w:r>
      <w:r>
        <w:rPr>
          <w:rFonts w:ascii="Arial" w:hAnsi="Arial" w:cs="Arial"/>
          <w:sz w:val="24"/>
          <w:szCs w:val="24"/>
        </w:rPr>
        <w:t>Egresos</w:t>
      </w:r>
      <w:r w:rsidRPr="008516EC">
        <w:rPr>
          <w:rFonts w:ascii="Arial" w:hAnsi="Arial" w:cs="Arial"/>
          <w:sz w:val="24"/>
          <w:szCs w:val="24"/>
        </w:rPr>
        <w:t>:</w:t>
      </w:r>
    </w:p>
    <w:p w:rsidR="008516EC" w:rsidRDefault="00B07EE0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07EE0">
        <w:rPr>
          <w:rFonts w:ascii="Arial" w:hAnsi="Arial" w:cs="Arial"/>
          <w:sz w:val="24"/>
          <w:szCs w:val="24"/>
        </w:rPr>
        <w:t xml:space="preserve">Recibe copia de los oficios </w:t>
      </w:r>
      <w:r>
        <w:rPr>
          <w:rFonts w:ascii="Arial" w:hAnsi="Arial" w:cs="Arial"/>
          <w:sz w:val="24"/>
          <w:szCs w:val="24"/>
        </w:rPr>
        <w:t xml:space="preserve">en donde los </w:t>
      </w:r>
      <w:r w:rsidR="005221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unicipios informan los números </w:t>
      </w:r>
      <w:r w:rsidRPr="00B07EE0">
        <w:rPr>
          <w:rFonts w:ascii="Arial" w:hAnsi="Arial" w:cs="Arial"/>
          <w:sz w:val="24"/>
          <w:szCs w:val="24"/>
        </w:rPr>
        <w:t xml:space="preserve">de las cuentas bancarias y procede a su captura en el </w:t>
      </w:r>
      <w:r w:rsidR="005221C5">
        <w:rPr>
          <w:rFonts w:ascii="Arial" w:hAnsi="Arial" w:cs="Arial"/>
          <w:sz w:val="24"/>
          <w:szCs w:val="24"/>
        </w:rPr>
        <w:t>SIIF</w:t>
      </w:r>
      <w:r>
        <w:rPr>
          <w:rFonts w:ascii="Arial" w:hAnsi="Arial" w:cs="Arial"/>
          <w:sz w:val="24"/>
          <w:szCs w:val="24"/>
        </w:rPr>
        <w:t>.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reciben </w:t>
      </w:r>
      <w:r w:rsidRPr="008C6C02">
        <w:rPr>
          <w:rFonts w:ascii="Arial" w:hAnsi="Arial" w:cs="Arial"/>
          <w:sz w:val="24"/>
          <w:szCs w:val="24"/>
        </w:rPr>
        <w:t>los trámites para pago de Fondo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revisan</w:t>
      </w:r>
      <w:r w:rsidRPr="008C6C02">
        <w:rPr>
          <w:rFonts w:ascii="Arial" w:hAnsi="Arial" w:cs="Arial"/>
          <w:sz w:val="24"/>
          <w:szCs w:val="24"/>
        </w:rPr>
        <w:t xml:space="preserve"> los datos del Contra-recibo (</w:t>
      </w:r>
      <w:r w:rsidR="005221C5">
        <w:rPr>
          <w:rFonts w:ascii="Arial" w:hAnsi="Arial" w:cs="Arial"/>
          <w:sz w:val="24"/>
          <w:szCs w:val="24"/>
        </w:rPr>
        <w:t>c</w:t>
      </w:r>
      <w:r w:rsidRPr="008C6C02">
        <w:rPr>
          <w:rFonts w:ascii="Arial" w:hAnsi="Arial" w:cs="Arial"/>
          <w:sz w:val="24"/>
          <w:szCs w:val="24"/>
        </w:rPr>
        <w:t xml:space="preserve">uentas bancarias y </w:t>
      </w:r>
      <w:proofErr w:type="spellStart"/>
      <w:r w:rsidR="005221C5">
        <w:rPr>
          <w:rFonts w:ascii="Arial" w:hAnsi="Arial" w:cs="Arial"/>
          <w:sz w:val="24"/>
          <w:szCs w:val="24"/>
        </w:rPr>
        <w:t>c</w:t>
      </w:r>
      <w:r w:rsidRPr="008C6C02">
        <w:rPr>
          <w:rFonts w:ascii="Arial" w:hAnsi="Arial" w:cs="Arial"/>
          <w:sz w:val="24"/>
          <w:szCs w:val="24"/>
        </w:rPr>
        <w:t>labe</w:t>
      </w:r>
      <w:proofErr w:type="spellEnd"/>
      <w:r w:rsidRPr="008C6C02">
        <w:rPr>
          <w:rFonts w:ascii="Arial" w:hAnsi="Arial" w:cs="Arial"/>
          <w:sz w:val="24"/>
          <w:szCs w:val="24"/>
        </w:rPr>
        <w:t>)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8C6C02">
        <w:rPr>
          <w:rFonts w:ascii="Arial" w:hAnsi="Arial" w:cs="Arial"/>
          <w:sz w:val="24"/>
          <w:szCs w:val="24"/>
        </w:rPr>
        <w:t>Impr</w:t>
      </w:r>
      <w:r>
        <w:rPr>
          <w:rFonts w:ascii="Arial" w:hAnsi="Arial" w:cs="Arial"/>
          <w:sz w:val="24"/>
          <w:szCs w:val="24"/>
        </w:rPr>
        <w:t>ime el</w:t>
      </w:r>
      <w:r w:rsidRPr="008C6C02">
        <w:rPr>
          <w:rFonts w:ascii="Arial" w:hAnsi="Arial" w:cs="Arial"/>
          <w:sz w:val="24"/>
          <w:szCs w:val="24"/>
        </w:rPr>
        <w:t xml:space="preserve"> Contra-Recibo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Elaboración de relación de procesos de Pago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Autorización Subsecretario(a) y Director(a) de Egresos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Envió a la Dirección de Tesorería</w:t>
      </w:r>
      <w:r>
        <w:rPr>
          <w:rFonts w:ascii="Arial" w:hAnsi="Arial" w:cs="Arial"/>
          <w:sz w:val="24"/>
          <w:szCs w:val="24"/>
        </w:rPr>
        <w:t xml:space="preserve"> para su pago</w:t>
      </w:r>
    </w:p>
    <w:p w:rsidR="008C6C02" w:rsidRDefault="008C6C02" w:rsidP="003E4E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Tesorería</w:t>
      </w:r>
    </w:p>
    <w:p w:rsid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Recibe el trámite para pago</w:t>
      </w:r>
      <w:r w:rsidR="009E17E4">
        <w:rPr>
          <w:rFonts w:ascii="Arial" w:hAnsi="Arial" w:cs="Arial"/>
          <w:sz w:val="24"/>
          <w:szCs w:val="24"/>
        </w:rPr>
        <w:t>.</w:t>
      </w:r>
    </w:p>
    <w:p w:rsidR="008C6C02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 xml:space="preserve">Realiza el Pago </w:t>
      </w:r>
      <w:r w:rsidR="00720EC7">
        <w:rPr>
          <w:rFonts w:ascii="Arial" w:hAnsi="Arial" w:cs="Arial"/>
          <w:sz w:val="24"/>
          <w:szCs w:val="24"/>
        </w:rPr>
        <w:t>v</w:t>
      </w:r>
      <w:r w:rsidRPr="008C6C02">
        <w:rPr>
          <w:rFonts w:ascii="Arial" w:hAnsi="Arial" w:cs="Arial"/>
          <w:sz w:val="24"/>
          <w:szCs w:val="24"/>
        </w:rPr>
        <w:t xml:space="preserve">ía </w:t>
      </w:r>
      <w:r w:rsidR="005221C5" w:rsidRPr="008C6C02">
        <w:rPr>
          <w:rFonts w:ascii="Arial" w:hAnsi="Arial" w:cs="Arial"/>
          <w:sz w:val="24"/>
          <w:szCs w:val="24"/>
        </w:rPr>
        <w:t>SPEI</w:t>
      </w:r>
      <w:r w:rsidR="009E17E4">
        <w:rPr>
          <w:rFonts w:ascii="Arial" w:hAnsi="Arial" w:cs="Arial"/>
          <w:sz w:val="24"/>
          <w:szCs w:val="24"/>
        </w:rPr>
        <w:t>.</w:t>
      </w:r>
    </w:p>
    <w:p w:rsidR="007611D9" w:rsidRDefault="007611D9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Imprime el comprobante bancario y la póliza “EG” para integrarlos dentro del proceso documental</w:t>
      </w:r>
      <w:r w:rsidR="009E17E4">
        <w:rPr>
          <w:rFonts w:ascii="Arial" w:hAnsi="Arial" w:cs="Arial"/>
          <w:sz w:val="24"/>
          <w:szCs w:val="24"/>
        </w:rPr>
        <w:t>.</w:t>
      </w:r>
    </w:p>
    <w:p w:rsidR="00B07EE0" w:rsidRPr="008C6C02" w:rsidRDefault="008C6C02" w:rsidP="005221C5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C6C02">
        <w:rPr>
          <w:rFonts w:ascii="Arial" w:hAnsi="Arial" w:cs="Arial"/>
          <w:sz w:val="24"/>
          <w:szCs w:val="24"/>
        </w:rPr>
        <w:t>nvía documentación a la Dirección de Contabilidad</w:t>
      </w:r>
    </w:p>
    <w:p w:rsidR="002F3270" w:rsidRDefault="002F3270" w:rsidP="002F3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Rendimientos Financieros</w:t>
      </w:r>
    </w:p>
    <w:p w:rsidR="003E4E94" w:rsidRDefault="003E4E94" w:rsidP="002F3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Presupuesto</w:t>
      </w:r>
    </w:p>
    <w:p w:rsidR="009E17E4" w:rsidRPr="003E4E94" w:rsidRDefault="009E17E4" w:rsidP="009E17E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E94">
        <w:rPr>
          <w:rFonts w:ascii="Arial" w:hAnsi="Arial" w:cs="Arial"/>
          <w:sz w:val="24"/>
          <w:szCs w:val="24"/>
        </w:rPr>
        <w:t xml:space="preserve">Los rendimientos financieros que se generen en la cuenta específica del </w:t>
      </w:r>
      <w:r>
        <w:rPr>
          <w:rFonts w:ascii="Arial" w:hAnsi="Arial" w:cs="Arial"/>
          <w:sz w:val="24"/>
          <w:szCs w:val="24"/>
        </w:rPr>
        <w:t xml:space="preserve">FISM-DF hasta la radicación del mes de </w:t>
      </w:r>
      <w:r w:rsidR="0015138D">
        <w:rPr>
          <w:rFonts w:ascii="Arial" w:hAnsi="Arial" w:cs="Arial"/>
          <w:sz w:val="24"/>
          <w:szCs w:val="24"/>
        </w:rPr>
        <w:t>octubre</w:t>
      </w:r>
      <w:r w:rsidRPr="003E4E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transferirán a los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E4E94">
        <w:rPr>
          <w:rFonts w:ascii="Arial" w:hAnsi="Arial" w:cs="Arial"/>
          <w:sz w:val="24"/>
          <w:szCs w:val="24"/>
        </w:rPr>
        <w:t>unicipios</w:t>
      </w:r>
      <w:r w:rsidR="0015138D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3E4E94">
        <w:rPr>
          <w:rFonts w:ascii="Arial" w:hAnsi="Arial" w:cs="Arial"/>
          <w:sz w:val="24"/>
          <w:szCs w:val="24"/>
        </w:rPr>
        <w:t>,</w:t>
      </w:r>
      <w:proofErr w:type="gramEnd"/>
      <w:r w:rsidRPr="003E4E94">
        <w:rPr>
          <w:rFonts w:ascii="Arial" w:hAnsi="Arial" w:cs="Arial"/>
          <w:sz w:val="24"/>
          <w:szCs w:val="24"/>
        </w:rPr>
        <w:t xml:space="preserve"> tomando como base la variable de di</w:t>
      </w:r>
      <w:r w:rsidR="00212258">
        <w:rPr>
          <w:rFonts w:ascii="Arial" w:hAnsi="Arial" w:cs="Arial"/>
          <w:sz w:val="24"/>
          <w:szCs w:val="24"/>
        </w:rPr>
        <w:t>stribución de los recursos por m</w:t>
      </w:r>
      <w:r w:rsidRPr="003E4E94">
        <w:rPr>
          <w:rFonts w:ascii="Arial" w:hAnsi="Arial" w:cs="Arial"/>
          <w:sz w:val="24"/>
          <w:szCs w:val="24"/>
        </w:rPr>
        <w:t>unicipio</w:t>
      </w:r>
      <w:r>
        <w:rPr>
          <w:rFonts w:ascii="Arial" w:hAnsi="Arial" w:cs="Arial"/>
          <w:sz w:val="24"/>
          <w:szCs w:val="24"/>
        </w:rPr>
        <w:t>, con la activación del procedimiento de pagos señalado en ese documento.</w:t>
      </w:r>
    </w:p>
    <w:p w:rsidR="009E17E4" w:rsidRPr="007C30BF" w:rsidRDefault="009E17E4" w:rsidP="009E17E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0BF">
        <w:rPr>
          <w:rFonts w:ascii="Arial" w:hAnsi="Arial" w:cs="Arial"/>
          <w:sz w:val="24"/>
          <w:szCs w:val="24"/>
        </w:rPr>
        <w:t xml:space="preserve">Los rendimientos del </w:t>
      </w:r>
      <w:r>
        <w:rPr>
          <w:rFonts w:ascii="Arial" w:hAnsi="Arial" w:cs="Arial"/>
          <w:sz w:val="24"/>
          <w:szCs w:val="24"/>
        </w:rPr>
        <w:t>FISM</w:t>
      </w:r>
      <w:r w:rsidRPr="007C30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reintegrados por los municipios al</w:t>
      </w:r>
      <w:r w:rsidRPr="007C30BF">
        <w:rPr>
          <w:rFonts w:ascii="Arial" w:hAnsi="Arial" w:cs="Arial"/>
          <w:sz w:val="24"/>
          <w:szCs w:val="24"/>
        </w:rPr>
        <w:t xml:space="preserve"> 31 de diciembre, se transferirán a la Tesorería de la Federación, con el procedimiento implementado en Dirección y e</w:t>
      </w:r>
      <w:r>
        <w:rPr>
          <w:rFonts w:ascii="Arial" w:hAnsi="Arial" w:cs="Arial"/>
          <w:sz w:val="24"/>
          <w:szCs w:val="24"/>
        </w:rPr>
        <w:t>n</w:t>
      </w:r>
      <w:r w:rsidRPr="007C30BF">
        <w:rPr>
          <w:rFonts w:ascii="Arial" w:hAnsi="Arial" w:cs="Arial"/>
          <w:sz w:val="24"/>
          <w:szCs w:val="24"/>
        </w:rPr>
        <w:t xml:space="preserve"> atención </w:t>
      </w:r>
      <w:r>
        <w:rPr>
          <w:rFonts w:ascii="Arial" w:hAnsi="Arial" w:cs="Arial"/>
          <w:sz w:val="24"/>
          <w:szCs w:val="24"/>
        </w:rPr>
        <w:t xml:space="preserve">al </w:t>
      </w:r>
      <w:r w:rsidR="0021225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17 de</w:t>
      </w:r>
      <w:r w:rsidRPr="007C30BF">
        <w:rPr>
          <w:rFonts w:ascii="Arial" w:hAnsi="Arial" w:cs="Arial"/>
          <w:sz w:val="24"/>
          <w:szCs w:val="24"/>
        </w:rPr>
        <w:t xml:space="preserve"> la LDFEFM.</w:t>
      </w:r>
    </w:p>
    <w:p w:rsidR="002F3270" w:rsidRPr="00272CE3" w:rsidRDefault="002F3270" w:rsidP="009E17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F3270" w:rsidRPr="00272CE3" w:rsidSect="00C32CED">
      <w:headerReference w:type="default" r:id="rId7"/>
      <w:pgSz w:w="12242" w:h="15842" w:code="1"/>
      <w:pgMar w:top="709" w:right="1134" w:bottom="1134" w:left="1134" w:header="992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9A" w:rsidRDefault="00867A9A" w:rsidP="006209C9">
      <w:pPr>
        <w:spacing w:after="0" w:line="240" w:lineRule="auto"/>
      </w:pPr>
      <w:r>
        <w:separator/>
      </w:r>
    </w:p>
  </w:endnote>
  <w:endnote w:type="continuationSeparator" w:id="0">
    <w:p w:rsidR="00867A9A" w:rsidRDefault="00867A9A" w:rsidP="0062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9A" w:rsidRDefault="00867A9A" w:rsidP="006209C9">
      <w:pPr>
        <w:spacing w:after="0" w:line="240" w:lineRule="auto"/>
      </w:pPr>
      <w:r>
        <w:separator/>
      </w:r>
    </w:p>
  </w:footnote>
  <w:footnote w:type="continuationSeparator" w:id="0">
    <w:p w:rsidR="00867A9A" w:rsidRDefault="00867A9A" w:rsidP="0062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9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0"/>
    </w:tblGrid>
    <w:tr w:rsidR="006209C9" w:rsidRPr="006209C9" w:rsidTr="006209C9">
      <w:trPr>
        <w:trHeight w:val="255"/>
      </w:trPr>
      <w:tc>
        <w:tcPr>
          <w:tcW w:w="16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180"/>
          </w:tblGrid>
          <w:tr w:rsidR="006209C9" w:rsidRPr="006209C9">
            <w:trPr>
              <w:trHeight w:val="255"/>
              <w:tblCellSpacing w:w="0" w:type="dxa"/>
            </w:trPr>
            <w:tc>
              <w:tcPr>
                <w:tcW w:w="16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6209C9" w:rsidRPr="006209C9" w:rsidRDefault="006209C9" w:rsidP="006209C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MX"/>
                  </w:rPr>
                  <w:drawing>
                    <wp:anchor distT="0" distB="0" distL="114300" distR="114300" simplePos="0" relativeHeight="251659264" behindDoc="0" locked="0" layoutInCell="1" allowOverlap="1" wp14:anchorId="57138A88" wp14:editId="23B677D9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-161925</wp:posOffset>
                      </wp:positionV>
                      <wp:extent cx="1524000" cy="447675"/>
                      <wp:effectExtent l="0" t="0" r="0" b="9525"/>
                      <wp:wrapNone/>
                      <wp:docPr id="4" name="Imagen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63" name="1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MX"/>
                  </w:rPr>
                  <w:drawing>
                    <wp:inline distT="0" distB="0" distL="0" distR="0" wp14:anchorId="2A207DA6" wp14:editId="3B811D86">
                      <wp:extent cx="2705100" cy="723900"/>
                      <wp:effectExtent l="0" t="0" r="0" b="0"/>
                      <wp:docPr id="5" name="Imagen 5" descr="C:\Users\Juana Maria\Documents\LOGOTIPOS\LOGO GOBIERNO HORIZONT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uana Maria\Documents\LOGOTIPOS\LOGO GOBIERNO HORIZONTA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eastAsia="es-MX"/>
                  </w:rPr>
                  <w:t xml:space="preserve">                              </w:t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MX"/>
                  </w:rPr>
                  <w:drawing>
                    <wp:inline distT="0" distB="0" distL="0" distR="0" wp14:anchorId="63567DD0" wp14:editId="08257021">
                      <wp:extent cx="2457450" cy="723900"/>
                      <wp:effectExtent l="0" t="0" r="0" b="0"/>
                      <wp:docPr id="6" name="Imagen 6" descr="C:\Users\Juana Maria\Documents\LOGOTIPOS\LOGO FINANZA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uana Maria\Documents\LOGOTIPOS\LOGO FINANZA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209C9" w:rsidRPr="006209C9" w:rsidRDefault="006209C9" w:rsidP="006209C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</w:tc>
    </w:tr>
  </w:tbl>
  <w:p w:rsidR="006209C9" w:rsidRDefault="006209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" o:bullet="t">
        <v:imagedata r:id="rId1" o:title="msoC38E"/>
      </v:shape>
    </w:pict>
  </w:numPicBullet>
  <w:abstractNum w:abstractNumId="0">
    <w:nsid w:val="076D7E5D"/>
    <w:multiLevelType w:val="hybridMultilevel"/>
    <w:tmpl w:val="1BB07C26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57790"/>
    <w:multiLevelType w:val="hybridMultilevel"/>
    <w:tmpl w:val="228A8F52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27AF8"/>
    <w:multiLevelType w:val="hybridMultilevel"/>
    <w:tmpl w:val="CCBCEDE6"/>
    <w:lvl w:ilvl="0" w:tplc="80F49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507F"/>
    <w:multiLevelType w:val="hybridMultilevel"/>
    <w:tmpl w:val="F27AE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5595"/>
    <w:multiLevelType w:val="hybridMultilevel"/>
    <w:tmpl w:val="FA484D20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A21C35"/>
    <w:multiLevelType w:val="hybridMultilevel"/>
    <w:tmpl w:val="4FCCCEA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CCB"/>
    <w:multiLevelType w:val="hybridMultilevel"/>
    <w:tmpl w:val="64C65B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5098"/>
    <w:multiLevelType w:val="hybridMultilevel"/>
    <w:tmpl w:val="D0C4703A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F"/>
    <w:rsid w:val="00001847"/>
    <w:rsid w:val="00007A8B"/>
    <w:rsid w:val="0004196B"/>
    <w:rsid w:val="0005309B"/>
    <w:rsid w:val="000554AC"/>
    <w:rsid w:val="00056777"/>
    <w:rsid w:val="000662E6"/>
    <w:rsid w:val="000752E8"/>
    <w:rsid w:val="00090C9F"/>
    <w:rsid w:val="0009507A"/>
    <w:rsid w:val="000A4B7E"/>
    <w:rsid w:val="000A7D3E"/>
    <w:rsid w:val="000B2DA1"/>
    <w:rsid w:val="000B31E5"/>
    <w:rsid w:val="000B36ED"/>
    <w:rsid w:val="000B4284"/>
    <w:rsid w:val="000C045B"/>
    <w:rsid w:val="000D0394"/>
    <w:rsid w:val="00112646"/>
    <w:rsid w:val="00132152"/>
    <w:rsid w:val="0015138D"/>
    <w:rsid w:val="0016667D"/>
    <w:rsid w:val="00183953"/>
    <w:rsid w:val="001B62AF"/>
    <w:rsid w:val="001E40FB"/>
    <w:rsid w:val="00203AD8"/>
    <w:rsid w:val="00212258"/>
    <w:rsid w:val="00212E66"/>
    <w:rsid w:val="002345A1"/>
    <w:rsid w:val="002446E0"/>
    <w:rsid w:val="00272CE3"/>
    <w:rsid w:val="00274965"/>
    <w:rsid w:val="00275AC0"/>
    <w:rsid w:val="002803E3"/>
    <w:rsid w:val="002843B7"/>
    <w:rsid w:val="00285B43"/>
    <w:rsid w:val="0029386A"/>
    <w:rsid w:val="002A3E5B"/>
    <w:rsid w:val="002B3FF7"/>
    <w:rsid w:val="002E4F1D"/>
    <w:rsid w:val="002E71A2"/>
    <w:rsid w:val="002F3270"/>
    <w:rsid w:val="00300FF9"/>
    <w:rsid w:val="00303421"/>
    <w:rsid w:val="003261B6"/>
    <w:rsid w:val="00335E04"/>
    <w:rsid w:val="00336CE6"/>
    <w:rsid w:val="003804B9"/>
    <w:rsid w:val="00394516"/>
    <w:rsid w:val="0039488E"/>
    <w:rsid w:val="003C4E90"/>
    <w:rsid w:val="003D77F5"/>
    <w:rsid w:val="003E4E94"/>
    <w:rsid w:val="003F6859"/>
    <w:rsid w:val="003F7A6B"/>
    <w:rsid w:val="00402334"/>
    <w:rsid w:val="00411623"/>
    <w:rsid w:val="004450BE"/>
    <w:rsid w:val="004549AB"/>
    <w:rsid w:val="0045743D"/>
    <w:rsid w:val="00462D3C"/>
    <w:rsid w:val="0047252D"/>
    <w:rsid w:val="004740A1"/>
    <w:rsid w:val="00482171"/>
    <w:rsid w:val="0048248C"/>
    <w:rsid w:val="004837A8"/>
    <w:rsid w:val="00483E99"/>
    <w:rsid w:val="0048512D"/>
    <w:rsid w:val="00490C17"/>
    <w:rsid w:val="0049686C"/>
    <w:rsid w:val="004A7E23"/>
    <w:rsid w:val="004C09F1"/>
    <w:rsid w:val="004F1C91"/>
    <w:rsid w:val="0050177A"/>
    <w:rsid w:val="00505B23"/>
    <w:rsid w:val="00507334"/>
    <w:rsid w:val="00510691"/>
    <w:rsid w:val="005221C5"/>
    <w:rsid w:val="00523532"/>
    <w:rsid w:val="0053320E"/>
    <w:rsid w:val="00534A73"/>
    <w:rsid w:val="005409C3"/>
    <w:rsid w:val="0054517C"/>
    <w:rsid w:val="00592223"/>
    <w:rsid w:val="005A1011"/>
    <w:rsid w:val="005C348B"/>
    <w:rsid w:val="005C6600"/>
    <w:rsid w:val="005D797D"/>
    <w:rsid w:val="005E40F3"/>
    <w:rsid w:val="00603F2E"/>
    <w:rsid w:val="006133DF"/>
    <w:rsid w:val="006209C9"/>
    <w:rsid w:val="00633E77"/>
    <w:rsid w:val="00640523"/>
    <w:rsid w:val="00643F68"/>
    <w:rsid w:val="00667F80"/>
    <w:rsid w:val="00695D47"/>
    <w:rsid w:val="006C7224"/>
    <w:rsid w:val="006D0B9A"/>
    <w:rsid w:val="006D4FE8"/>
    <w:rsid w:val="006F26C2"/>
    <w:rsid w:val="006F363F"/>
    <w:rsid w:val="007068C5"/>
    <w:rsid w:val="00713D36"/>
    <w:rsid w:val="00720EC7"/>
    <w:rsid w:val="0072176E"/>
    <w:rsid w:val="007238C1"/>
    <w:rsid w:val="007425D5"/>
    <w:rsid w:val="0075227A"/>
    <w:rsid w:val="007611D9"/>
    <w:rsid w:val="007821D7"/>
    <w:rsid w:val="007B3CD3"/>
    <w:rsid w:val="007C64DB"/>
    <w:rsid w:val="007F7E64"/>
    <w:rsid w:val="008163E2"/>
    <w:rsid w:val="0083659D"/>
    <w:rsid w:val="0084785F"/>
    <w:rsid w:val="008516EC"/>
    <w:rsid w:val="00867A9A"/>
    <w:rsid w:val="008917E5"/>
    <w:rsid w:val="008919A8"/>
    <w:rsid w:val="008C6C02"/>
    <w:rsid w:val="008E2B75"/>
    <w:rsid w:val="00905BAF"/>
    <w:rsid w:val="00946908"/>
    <w:rsid w:val="009478DE"/>
    <w:rsid w:val="009557E8"/>
    <w:rsid w:val="00957423"/>
    <w:rsid w:val="00967E6F"/>
    <w:rsid w:val="009800FF"/>
    <w:rsid w:val="00982FCA"/>
    <w:rsid w:val="0099002D"/>
    <w:rsid w:val="009926CF"/>
    <w:rsid w:val="009A21F8"/>
    <w:rsid w:val="009B2769"/>
    <w:rsid w:val="009E17E4"/>
    <w:rsid w:val="009E5425"/>
    <w:rsid w:val="00A01D37"/>
    <w:rsid w:val="00A13AB9"/>
    <w:rsid w:val="00A2518D"/>
    <w:rsid w:val="00A45B12"/>
    <w:rsid w:val="00A50D51"/>
    <w:rsid w:val="00A51A6B"/>
    <w:rsid w:val="00A80787"/>
    <w:rsid w:val="00AB45E0"/>
    <w:rsid w:val="00AC6F6C"/>
    <w:rsid w:val="00AE790B"/>
    <w:rsid w:val="00B07EE0"/>
    <w:rsid w:val="00B127C0"/>
    <w:rsid w:val="00B17B8A"/>
    <w:rsid w:val="00B31403"/>
    <w:rsid w:val="00B4374C"/>
    <w:rsid w:val="00B500E4"/>
    <w:rsid w:val="00B56A9B"/>
    <w:rsid w:val="00B56AD8"/>
    <w:rsid w:val="00B64BE2"/>
    <w:rsid w:val="00B70289"/>
    <w:rsid w:val="00B7733E"/>
    <w:rsid w:val="00B800EE"/>
    <w:rsid w:val="00B97B63"/>
    <w:rsid w:val="00BC1C88"/>
    <w:rsid w:val="00BF0156"/>
    <w:rsid w:val="00C000F0"/>
    <w:rsid w:val="00C01406"/>
    <w:rsid w:val="00C05A55"/>
    <w:rsid w:val="00C24973"/>
    <w:rsid w:val="00C32CED"/>
    <w:rsid w:val="00C33A89"/>
    <w:rsid w:val="00C344EE"/>
    <w:rsid w:val="00C3536E"/>
    <w:rsid w:val="00C4023C"/>
    <w:rsid w:val="00C4061D"/>
    <w:rsid w:val="00C41E28"/>
    <w:rsid w:val="00C51520"/>
    <w:rsid w:val="00C51B7B"/>
    <w:rsid w:val="00C768B1"/>
    <w:rsid w:val="00C85DE8"/>
    <w:rsid w:val="00CA4A97"/>
    <w:rsid w:val="00CB5F22"/>
    <w:rsid w:val="00CC169A"/>
    <w:rsid w:val="00CD1C4B"/>
    <w:rsid w:val="00CD644D"/>
    <w:rsid w:val="00CE42C2"/>
    <w:rsid w:val="00CF185C"/>
    <w:rsid w:val="00D20834"/>
    <w:rsid w:val="00D30FF7"/>
    <w:rsid w:val="00D409E6"/>
    <w:rsid w:val="00D4419F"/>
    <w:rsid w:val="00D44814"/>
    <w:rsid w:val="00D67D1C"/>
    <w:rsid w:val="00D9599A"/>
    <w:rsid w:val="00DA2339"/>
    <w:rsid w:val="00DB568B"/>
    <w:rsid w:val="00DC011B"/>
    <w:rsid w:val="00DD1356"/>
    <w:rsid w:val="00DD1F3C"/>
    <w:rsid w:val="00E01C2E"/>
    <w:rsid w:val="00E07EC2"/>
    <w:rsid w:val="00E25A79"/>
    <w:rsid w:val="00E55CC6"/>
    <w:rsid w:val="00E83A01"/>
    <w:rsid w:val="00ED4C76"/>
    <w:rsid w:val="00ED713A"/>
    <w:rsid w:val="00EE5F3F"/>
    <w:rsid w:val="00EF27DD"/>
    <w:rsid w:val="00EF37E1"/>
    <w:rsid w:val="00F32079"/>
    <w:rsid w:val="00F565D3"/>
    <w:rsid w:val="00F61639"/>
    <w:rsid w:val="00F6171C"/>
    <w:rsid w:val="00F61CAF"/>
    <w:rsid w:val="00F71CCD"/>
    <w:rsid w:val="00F730FB"/>
    <w:rsid w:val="00FA6A51"/>
    <w:rsid w:val="00FB4B6A"/>
    <w:rsid w:val="00FC3EFD"/>
    <w:rsid w:val="00FE560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A1278-1309-4525-A0DF-0E46435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C9"/>
  </w:style>
  <w:style w:type="paragraph" w:styleId="Piedepgina">
    <w:name w:val="footer"/>
    <w:basedOn w:val="Normal"/>
    <w:link w:val="PiedepginaCar"/>
    <w:uiPriority w:val="99"/>
    <w:unhideWhenUsed/>
    <w:rsid w:val="0062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C9"/>
  </w:style>
  <w:style w:type="paragraph" w:styleId="Textodeglobo">
    <w:name w:val="Balloon Text"/>
    <w:basedOn w:val="Normal"/>
    <w:link w:val="TextodegloboCar"/>
    <w:uiPriority w:val="99"/>
    <w:semiHidden/>
    <w:unhideWhenUsed/>
    <w:rsid w:val="0062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9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C4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761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2306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Maria</dc:creator>
  <cp:lastModifiedBy>Mmedina</cp:lastModifiedBy>
  <cp:revision>41</cp:revision>
  <cp:lastPrinted>2019-12-20T18:34:00Z</cp:lastPrinted>
  <dcterms:created xsi:type="dcterms:W3CDTF">2020-02-07T17:03:00Z</dcterms:created>
  <dcterms:modified xsi:type="dcterms:W3CDTF">2020-02-11T20:54:00Z</dcterms:modified>
</cp:coreProperties>
</file>